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AF1A5" w14:textId="77777777" w:rsidR="00A10F68" w:rsidRDefault="00A10F68" w:rsidP="00A10F68">
      <w:pPr>
        <w:jc w:val="center"/>
        <w:rPr>
          <w:b/>
          <w:bCs/>
          <w:color w:val="000000" w:themeColor="text1"/>
          <w:sz w:val="32"/>
          <w:szCs w:val="32"/>
        </w:rPr>
      </w:pPr>
      <w:r>
        <w:rPr>
          <w:b/>
          <w:color w:val="000000" w:themeColor="text1"/>
          <w:sz w:val="32"/>
          <w:szCs w:val="32"/>
          <w:lang w:val="en-CA"/>
        </w:rPr>
        <w:fldChar w:fldCharType="begin"/>
      </w:r>
      <w:r>
        <w:rPr>
          <w:b/>
          <w:color w:val="000000" w:themeColor="text1"/>
          <w:sz w:val="32"/>
          <w:szCs w:val="32"/>
          <w:lang w:val="en-CA"/>
        </w:rPr>
        <w:instrText xml:space="preserve"> SEQ CHAPTER \h \r 1</w:instrText>
      </w:r>
      <w:r>
        <w:rPr>
          <w:b/>
          <w:color w:val="000000" w:themeColor="text1"/>
          <w:sz w:val="32"/>
          <w:szCs w:val="32"/>
          <w:lang w:val="en-CA"/>
        </w:rPr>
        <w:fldChar w:fldCharType="end"/>
      </w:r>
      <w:r>
        <w:rPr>
          <w:b/>
          <w:bCs/>
          <w:color w:val="000000" w:themeColor="text1"/>
          <w:sz w:val="32"/>
          <w:szCs w:val="32"/>
        </w:rPr>
        <w:t>GREG D. LUBOW</w:t>
      </w:r>
    </w:p>
    <w:p w14:paraId="78E50667" w14:textId="77777777" w:rsidR="00A10F68" w:rsidRDefault="00A10F68" w:rsidP="00A10F68">
      <w:pPr>
        <w:jc w:val="center"/>
        <w:rPr>
          <w:b/>
          <w:bCs/>
          <w:color w:val="000000" w:themeColor="text1"/>
          <w:sz w:val="28"/>
          <w:szCs w:val="28"/>
        </w:rPr>
      </w:pPr>
      <w:r>
        <w:rPr>
          <w:b/>
          <w:bCs/>
          <w:color w:val="000000" w:themeColor="text1"/>
          <w:sz w:val="28"/>
          <w:szCs w:val="28"/>
        </w:rPr>
        <w:t>Attorney at Law</w:t>
      </w:r>
    </w:p>
    <w:p w14:paraId="053397DB" w14:textId="77777777" w:rsidR="00A10F68" w:rsidRDefault="00A10F68" w:rsidP="00A10F68">
      <w:pPr>
        <w:jc w:val="center"/>
        <w:rPr>
          <w:b/>
          <w:bCs/>
          <w:color w:val="000000" w:themeColor="text1"/>
          <w:sz w:val="24"/>
          <w:szCs w:val="24"/>
        </w:rPr>
      </w:pPr>
    </w:p>
    <w:p w14:paraId="27556F79" w14:textId="475EFD0A" w:rsidR="00A10F68" w:rsidRDefault="00167094" w:rsidP="00A10F68">
      <w:pPr>
        <w:jc w:val="center"/>
        <w:rPr>
          <w:b/>
          <w:bCs/>
          <w:i/>
          <w:color w:val="000000" w:themeColor="text1"/>
        </w:rPr>
      </w:pPr>
      <w:r>
        <w:rPr>
          <w:b/>
          <w:bCs/>
          <w:i/>
          <w:color w:val="000000" w:themeColor="text1"/>
        </w:rPr>
        <w:t>47</w:t>
      </w:r>
      <w:r w:rsidR="00A10F68">
        <w:rPr>
          <w:b/>
          <w:bCs/>
          <w:i/>
          <w:color w:val="000000" w:themeColor="text1"/>
        </w:rPr>
        <w:t xml:space="preserve"> Years of Quality Representation</w:t>
      </w:r>
    </w:p>
    <w:p w14:paraId="13A2304E" w14:textId="13704171" w:rsidR="00A10F68" w:rsidRDefault="00167094" w:rsidP="00A10F68">
      <w:pPr>
        <w:jc w:val="center"/>
        <w:rPr>
          <w:b/>
          <w:bCs/>
          <w:i/>
          <w:color w:val="000000" w:themeColor="text1"/>
        </w:rPr>
      </w:pPr>
      <w:r>
        <w:rPr>
          <w:b/>
          <w:bCs/>
          <w:i/>
          <w:color w:val="000000" w:themeColor="text1"/>
        </w:rPr>
        <w:t>1977-2024</w:t>
      </w:r>
    </w:p>
    <w:p w14:paraId="5023CE6B" w14:textId="77777777" w:rsidR="00A10F68" w:rsidRDefault="00A10F68" w:rsidP="00A10F68">
      <w:pPr>
        <w:rPr>
          <w:b/>
          <w:bCs/>
          <w:color w:val="000000" w:themeColor="text1"/>
        </w:rPr>
      </w:pPr>
      <w:r>
        <w:rPr>
          <w:b/>
          <w:bCs/>
          <w:color w:val="000000" w:themeColor="text1"/>
        </w:rPr>
        <w:t xml:space="preserve">     6026 MAIN STREET</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t xml:space="preserve">                  PHONE: 518-589-5723</w:t>
      </w:r>
    </w:p>
    <w:p w14:paraId="08B2AD8D" w14:textId="77777777" w:rsidR="00A10F68" w:rsidRDefault="00A10F68" w:rsidP="00A10F68">
      <w:pPr>
        <w:rPr>
          <w:b/>
          <w:bCs/>
          <w:color w:val="000000" w:themeColor="text1"/>
        </w:rPr>
      </w:pPr>
      <w:r>
        <w:rPr>
          <w:b/>
          <w:bCs/>
          <w:color w:val="000000" w:themeColor="text1"/>
        </w:rPr>
        <w:t xml:space="preserve">            PO BOX 839</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t xml:space="preserve">                  FAX:       518-589-6015</w:t>
      </w:r>
    </w:p>
    <w:p w14:paraId="49B8A30F" w14:textId="77777777" w:rsidR="00A10F68" w:rsidRDefault="00A10F68" w:rsidP="00A10F68">
      <w:pPr>
        <w:ind w:right="-630"/>
        <w:rPr>
          <w:b/>
          <w:bCs/>
          <w:color w:val="000000" w:themeColor="text1"/>
        </w:rPr>
      </w:pPr>
      <w:r>
        <w:rPr>
          <w:b/>
          <w:bCs/>
          <w:color w:val="000000" w:themeColor="text1"/>
        </w:rPr>
        <w:t>TANNERSVILLE, NY 12485</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t xml:space="preserve">           E-MAIL: </w:t>
      </w:r>
      <w:hyperlink r:id="rId6" w:history="1">
        <w:r>
          <w:rPr>
            <w:rStyle w:val="Hyperlink"/>
          </w:rPr>
          <w:t>gdlubow@gmail.com</w:t>
        </w:r>
      </w:hyperlink>
    </w:p>
    <w:p w14:paraId="4B545010" w14:textId="77777777" w:rsidR="00A10F68" w:rsidRDefault="00A10F68" w:rsidP="00A10F68">
      <w:pPr>
        <w:jc w:val="both"/>
        <w:rPr>
          <w:sz w:val="22"/>
          <w:szCs w:val="22"/>
        </w:rPr>
      </w:pPr>
      <w:r>
        <w:tab/>
      </w:r>
      <w:r>
        <w:tab/>
      </w:r>
      <w:r>
        <w:tab/>
      </w:r>
      <w:r>
        <w:tab/>
      </w:r>
      <w:r>
        <w:tab/>
      </w:r>
      <w:r>
        <w:rPr>
          <w:sz w:val="22"/>
          <w:szCs w:val="22"/>
        </w:rPr>
        <w:tab/>
        <w:t xml:space="preserve"> </w:t>
      </w:r>
    </w:p>
    <w:p w14:paraId="7C9058F0" w14:textId="430962E8" w:rsidR="00A10F68" w:rsidRDefault="0038291F" w:rsidP="00A10F68">
      <w:pPr>
        <w:rPr>
          <w:bCs/>
          <w:color w:val="000000" w:themeColor="text1"/>
          <w:sz w:val="24"/>
          <w:szCs w:val="24"/>
        </w:rPr>
      </w:pPr>
      <w:r>
        <w:rPr>
          <w:bCs/>
          <w:color w:val="000000" w:themeColor="text1"/>
          <w:sz w:val="24"/>
          <w:szCs w:val="24"/>
        </w:rPr>
        <w:t>June 24</w:t>
      </w:r>
      <w:r w:rsidR="00DA39B7">
        <w:rPr>
          <w:bCs/>
          <w:color w:val="000000" w:themeColor="text1"/>
          <w:sz w:val="24"/>
          <w:szCs w:val="24"/>
        </w:rPr>
        <w:t>, 2024</w:t>
      </w:r>
    </w:p>
    <w:p w14:paraId="0C3458DD" w14:textId="77777777" w:rsidR="006A11DD" w:rsidRDefault="006A11DD" w:rsidP="00A10F68">
      <w:pPr>
        <w:rPr>
          <w:bCs/>
          <w:color w:val="000000" w:themeColor="text1"/>
          <w:sz w:val="24"/>
          <w:szCs w:val="24"/>
        </w:rPr>
      </w:pPr>
    </w:p>
    <w:p w14:paraId="0BF8089D" w14:textId="77777777" w:rsidR="00DF1026" w:rsidRDefault="00DF1026" w:rsidP="006A11DD">
      <w:pPr>
        <w:rPr>
          <w:rFonts w:ascii="Arial" w:hAnsi="Arial" w:cs="Arial"/>
          <w:color w:val="222222"/>
        </w:rPr>
      </w:pPr>
    </w:p>
    <w:p w14:paraId="61367E28" w14:textId="456F3026" w:rsidR="00432832" w:rsidRPr="00432832" w:rsidRDefault="00432832" w:rsidP="006A11DD">
      <w:pPr>
        <w:rPr>
          <w:bCs/>
          <w:color w:val="000000" w:themeColor="text1"/>
          <w:sz w:val="24"/>
          <w:szCs w:val="24"/>
        </w:rPr>
      </w:pPr>
      <w:r w:rsidRPr="00432832">
        <w:rPr>
          <w:color w:val="222222"/>
          <w:sz w:val="24"/>
          <w:szCs w:val="24"/>
          <w:shd w:val="clear" w:color="auto" w:fill="FFFFFF"/>
        </w:rPr>
        <w:t xml:space="preserve">To: </w:t>
      </w:r>
      <w:hyperlink r:id="rId7" w:tgtFrame="_blank" w:history="1">
        <w:r w:rsidRPr="00432832">
          <w:rPr>
            <w:rStyle w:val="Hyperlink"/>
            <w:color w:val="1155CC"/>
            <w:sz w:val="24"/>
            <w:szCs w:val="24"/>
            <w:shd w:val="clear" w:color="auto" w:fill="FFFFFF"/>
          </w:rPr>
          <w:t>Regulations@cpc.ny.gov</w:t>
        </w:r>
      </w:hyperlink>
      <w:r w:rsidRPr="00432832">
        <w:rPr>
          <w:color w:val="222222"/>
          <w:sz w:val="24"/>
          <w:szCs w:val="24"/>
        </w:rPr>
        <w:br/>
      </w:r>
    </w:p>
    <w:p w14:paraId="5335C5DC" w14:textId="644AEC34" w:rsidR="006A11DD" w:rsidRPr="006A11DD" w:rsidRDefault="006A11DD" w:rsidP="006A11DD">
      <w:pPr>
        <w:rPr>
          <w:bCs/>
          <w:color w:val="000000" w:themeColor="text1"/>
          <w:sz w:val="24"/>
          <w:szCs w:val="24"/>
        </w:rPr>
      </w:pPr>
      <w:r w:rsidRPr="006A11DD">
        <w:rPr>
          <w:bCs/>
          <w:color w:val="000000" w:themeColor="text1"/>
          <w:sz w:val="24"/>
          <w:szCs w:val="24"/>
        </w:rPr>
        <w:t xml:space="preserve">Michael A. Simons, </w:t>
      </w:r>
      <w:r w:rsidR="001C2014">
        <w:rPr>
          <w:bCs/>
          <w:color w:val="000000" w:themeColor="text1"/>
          <w:sz w:val="24"/>
          <w:szCs w:val="24"/>
        </w:rPr>
        <w:t xml:space="preserve">Esq., </w:t>
      </w:r>
      <w:r w:rsidRPr="006A11DD">
        <w:rPr>
          <w:bCs/>
          <w:color w:val="000000" w:themeColor="text1"/>
          <w:sz w:val="24"/>
          <w:szCs w:val="24"/>
        </w:rPr>
        <w:t>Chair,</w:t>
      </w:r>
    </w:p>
    <w:p w14:paraId="50F46E60" w14:textId="77777777" w:rsidR="006A11DD" w:rsidRPr="006A11DD" w:rsidRDefault="006A11DD" w:rsidP="006A11DD">
      <w:pPr>
        <w:rPr>
          <w:bCs/>
          <w:color w:val="000000" w:themeColor="text1"/>
          <w:sz w:val="24"/>
          <w:szCs w:val="24"/>
        </w:rPr>
      </w:pPr>
      <w:r w:rsidRPr="006A11DD">
        <w:rPr>
          <w:bCs/>
          <w:color w:val="000000" w:themeColor="text1"/>
          <w:sz w:val="24"/>
          <w:szCs w:val="24"/>
        </w:rPr>
        <w:t>New York State Commission on Prosecutorial Conduct</w:t>
      </w:r>
    </w:p>
    <w:p w14:paraId="4C3B3077" w14:textId="77777777" w:rsidR="006A11DD" w:rsidRPr="006A11DD" w:rsidRDefault="006A11DD" w:rsidP="006A11DD">
      <w:pPr>
        <w:rPr>
          <w:bCs/>
          <w:color w:val="000000" w:themeColor="text1"/>
          <w:sz w:val="24"/>
          <w:szCs w:val="24"/>
        </w:rPr>
      </w:pPr>
      <w:r w:rsidRPr="006A11DD">
        <w:rPr>
          <w:bCs/>
          <w:color w:val="000000" w:themeColor="text1"/>
          <w:sz w:val="24"/>
          <w:szCs w:val="24"/>
        </w:rPr>
        <w:t>St. John’s University</w:t>
      </w:r>
    </w:p>
    <w:p w14:paraId="15BF2C09" w14:textId="77777777" w:rsidR="006A11DD" w:rsidRPr="006A11DD" w:rsidRDefault="006A11DD" w:rsidP="006A11DD">
      <w:pPr>
        <w:rPr>
          <w:bCs/>
          <w:color w:val="000000" w:themeColor="text1"/>
          <w:sz w:val="24"/>
          <w:szCs w:val="24"/>
        </w:rPr>
      </w:pPr>
      <w:r w:rsidRPr="006A11DD">
        <w:rPr>
          <w:bCs/>
          <w:color w:val="000000" w:themeColor="text1"/>
          <w:sz w:val="24"/>
          <w:szCs w:val="24"/>
        </w:rPr>
        <w:t>8000 Utopia Parkway</w:t>
      </w:r>
    </w:p>
    <w:p w14:paraId="620910D6" w14:textId="77777777" w:rsidR="006A11DD" w:rsidRDefault="006A11DD" w:rsidP="006A11DD">
      <w:pPr>
        <w:rPr>
          <w:bCs/>
          <w:color w:val="000000" w:themeColor="text1"/>
          <w:sz w:val="24"/>
          <w:szCs w:val="24"/>
        </w:rPr>
      </w:pPr>
      <w:r w:rsidRPr="006A11DD">
        <w:rPr>
          <w:bCs/>
          <w:color w:val="000000" w:themeColor="text1"/>
          <w:sz w:val="24"/>
          <w:szCs w:val="24"/>
        </w:rPr>
        <w:t>Queens, NY 11439</w:t>
      </w:r>
    </w:p>
    <w:p w14:paraId="0A2FD1F3" w14:textId="1043562F" w:rsidR="00B70AF8" w:rsidRPr="005E34D0" w:rsidRDefault="00B70AF8" w:rsidP="006A11DD">
      <w:pPr>
        <w:rPr>
          <w:bCs/>
          <w:color w:val="000000" w:themeColor="text1"/>
          <w:sz w:val="24"/>
          <w:szCs w:val="24"/>
        </w:rPr>
      </w:pPr>
      <w:r>
        <w:rPr>
          <w:rFonts w:ascii="Arial" w:hAnsi="Arial" w:cs="Arial"/>
          <w:color w:val="222222"/>
        </w:rPr>
        <w:br/>
      </w:r>
      <w:proofErr w:type="spellStart"/>
      <w:proofErr w:type="gramStart"/>
      <w:r w:rsidR="006D0023">
        <w:rPr>
          <w:color w:val="222222"/>
          <w:sz w:val="24"/>
          <w:szCs w:val="24"/>
          <w:shd w:val="clear" w:color="auto" w:fill="FFFFFF"/>
        </w:rPr>
        <w:t>e</w:t>
      </w:r>
      <w:r w:rsidRPr="005E34D0">
        <w:rPr>
          <w:color w:val="222222"/>
          <w:sz w:val="24"/>
          <w:szCs w:val="24"/>
          <w:shd w:val="clear" w:color="auto" w:fill="FFFFFF"/>
        </w:rPr>
        <w:t>c</w:t>
      </w:r>
      <w:proofErr w:type="spellEnd"/>
      <w:proofErr w:type="gramEnd"/>
      <w:r w:rsidRPr="005E34D0">
        <w:rPr>
          <w:color w:val="222222"/>
          <w:sz w:val="24"/>
          <w:szCs w:val="24"/>
          <w:shd w:val="clear" w:color="auto" w:fill="FFFFFF"/>
        </w:rPr>
        <w:t xml:space="preserve">: Simons, Michael (CPC) </w:t>
      </w:r>
      <w:hyperlink r:id="rId8" w:tgtFrame="_blank" w:history="1">
        <w:r w:rsidRPr="005E34D0">
          <w:rPr>
            <w:rStyle w:val="Hyperlink"/>
            <w:color w:val="1155CC"/>
            <w:sz w:val="24"/>
            <w:szCs w:val="24"/>
            <w:shd w:val="clear" w:color="auto" w:fill="FFFFFF"/>
          </w:rPr>
          <w:t>michael.simons@cpc.ny.gov</w:t>
        </w:r>
      </w:hyperlink>
    </w:p>
    <w:p w14:paraId="043F327F" w14:textId="77777777" w:rsidR="006A11DD" w:rsidRPr="006A11DD" w:rsidRDefault="006A11DD" w:rsidP="006A11DD">
      <w:pPr>
        <w:rPr>
          <w:bCs/>
          <w:color w:val="000000" w:themeColor="text1"/>
          <w:sz w:val="24"/>
          <w:szCs w:val="24"/>
        </w:rPr>
      </w:pPr>
    </w:p>
    <w:p w14:paraId="10D7CB18" w14:textId="468599B0" w:rsidR="006A11DD" w:rsidRDefault="006A11DD" w:rsidP="006A11DD">
      <w:pPr>
        <w:rPr>
          <w:bCs/>
          <w:color w:val="000000" w:themeColor="text1"/>
          <w:sz w:val="24"/>
          <w:szCs w:val="24"/>
        </w:rPr>
      </w:pPr>
      <w:r w:rsidRPr="006A11DD">
        <w:rPr>
          <w:bCs/>
          <w:color w:val="000000" w:themeColor="text1"/>
          <w:sz w:val="24"/>
          <w:szCs w:val="24"/>
        </w:rPr>
        <w:t>Re.: Comments to the Proposed Operating Rules and Procedures</w:t>
      </w:r>
      <w:r w:rsidR="00B70AF8">
        <w:rPr>
          <w:bCs/>
          <w:color w:val="000000" w:themeColor="text1"/>
          <w:sz w:val="24"/>
          <w:szCs w:val="24"/>
        </w:rPr>
        <w:t xml:space="preserve"> of the Commission on Pros</w:t>
      </w:r>
      <w:r w:rsidR="000408F4">
        <w:rPr>
          <w:bCs/>
          <w:color w:val="000000" w:themeColor="text1"/>
          <w:sz w:val="24"/>
          <w:szCs w:val="24"/>
        </w:rPr>
        <w:t>e</w:t>
      </w:r>
      <w:r w:rsidR="00B70AF8">
        <w:rPr>
          <w:bCs/>
          <w:color w:val="000000" w:themeColor="text1"/>
          <w:sz w:val="24"/>
          <w:szCs w:val="24"/>
        </w:rPr>
        <w:t>cutorial Conduct;</w:t>
      </w:r>
    </w:p>
    <w:p w14:paraId="09AF0E57" w14:textId="77777777" w:rsidR="00B70AF8" w:rsidRDefault="00B70AF8" w:rsidP="006A11DD">
      <w:pPr>
        <w:rPr>
          <w:bCs/>
          <w:color w:val="000000" w:themeColor="text1"/>
          <w:sz w:val="24"/>
          <w:szCs w:val="24"/>
        </w:rPr>
      </w:pPr>
    </w:p>
    <w:p w14:paraId="41971A08" w14:textId="3F2407C5" w:rsidR="006A11DD" w:rsidRDefault="001C2014" w:rsidP="006A11DD">
      <w:pPr>
        <w:rPr>
          <w:bCs/>
          <w:color w:val="000000" w:themeColor="text1"/>
          <w:sz w:val="24"/>
          <w:szCs w:val="24"/>
        </w:rPr>
      </w:pPr>
      <w:r>
        <w:rPr>
          <w:bCs/>
          <w:color w:val="000000" w:themeColor="text1"/>
          <w:sz w:val="24"/>
          <w:szCs w:val="24"/>
        </w:rPr>
        <w:t>Dear Mr.</w:t>
      </w:r>
      <w:r w:rsidR="006A11DD" w:rsidRPr="006A11DD">
        <w:rPr>
          <w:bCs/>
          <w:color w:val="000000" w:themeColor="text1"/>
          <w:sz w:val="24"/>
          <w:szCs w:val="24"/>
        </w:rPr>
        <w:t xml:space="preserve"> Simons:</w:t>
      </w:r>
    </w:p>
    <w:p w14:paraId="4AE87EA7" w14:textId="77777777" w:rsidR="00A23D9C" w:rsidRPr="006A11DD" w:rsidRDefault="00A23D9C" w:rsidP="006A11DD">
      <w:pPr>
        <w:rPr>
          <w:bCs/>
          <w:color w:val="000000" w:themeColor="text1"/>
          <w:sz w:val="24"/>
          <w:szCs w:val="24"/>
        </w:rPr>
      </w:pPr>
    </w:p>
    <w:p w14:paraId="081330A2" w14:textId="59ACA6E0" w:rsidR="009C3F63" w:rsidRDefault="0092765C" w:rsidP="000B160F">
      <w:pPr>
        <w:jc w:val="both"/>
        <w:rPr>
          <w:bCs/>
          <w:color w:val="000000" w:themeColor="text1"/>
          <w:sz w:val="24"/>
          <w:szCs w:val="24"/>
        </w:rPr>
      </w:pPr>
      <w:r>
        <w:rPr>
          <w:bCs/>
          <w:color w:val="000000" w:themeColor="text1"/>
          <w:sz w:val="24"/>
          <w:szCs w:val="24"/>
        </w:rPr>
        <w:t xml:space="preserve">I am an </w:t>
      </w:r>
      <w:proofErr w:type="gramStart"/>
      <w:r>
        <w:rPr>
          <w:bCs/>
          <w:color w:val="000000" w:themeColor="text1"/>
          <w:sz w:val="24"/>
          <w:szCs w:val="24"/>
        </w:rPr>
        <w:t>attorney</w:t>
      </w:r>
      <w:proofErr w:type="gramEnd"/>
      <w:r>
        <w:rPr>
          <w:bCs/>
          <w:color w:val="000000" w:themeColor="text1"/>
          <w:sz w:val="24"/>
          <w:szCs w:val="24"/>
        </w:rPr>
        <w:t xml:space="preserve"> </w:t>
      </w:r>
      <w:r w:rsidR="006A3C6F">
        <w:rPr>
          <w:bCs/>
          <w:color w:val="000000" w:themeColor="text1"/>
          <w:sz w:val="24"/>
          <w:szCs w:val="24"/>
        </w:rPr>
        <w:t>who practice</w:t>
      </w:r>
      <w:r w:rsidR="00970E7F">
        <w:rPr>
          <w:bCs/>
          <w:color w:val="000000" w:themeColor="text1"/>
          <w:sz w:val="24"/>
          <w:szCs w:val="24"/>
        </w:rPr>
        <w:t>d</w:t>
      </w:r>
      <w:r w:rsidR="006A3C6F">
        <w:rPr>
          <w:bCs/>
          <w:color w:val="000000" w:themeColor="text1"/>
          <w:sz w:val="24"/>
          <w:szCs w:val="24"/>
        </w:rPr>
        <w:t xml:space="preserve"> criminal defense</w:t>
      </w:r>
      <w:r w:rsidR="009C3F63">
        <w:rPr>
          <w:bCs/>
          <w:color w:val="000000" w:themeColor="text1"/>
          <w:sz w:val="24"/>
          <w:szCs w:val="24"/>
        </w:rPr>
        <w:t xml:space="preserve"> as part of my general practice of law since September, 1977.  At that time I was appointed Chief Public Defender of Greene County, which was a part time position</w:t>
      </w:r>
      <w:r w:rsidR="00625165">
        <w:rPr>
          <w:bCs/>
          <w:color w:val="000000" w:themeColor="text1"/>
          <w:sz w:val="24"/>
          <w:szCs w:val="24"/>
        </w:rPr>
        <w:t xml:space="preserve"> and which I held for 27 years</w:t>
      </w:r>
      <w:r w:rsidR="009C3F63">
        <w:rPr>
          <w:bCs/>
          <w:color w:val="000000" w:themeColor="text1"/>
          <w:sz w:val="24"/>
          <w:szCs w:val="24"/>
        </w:rPr>
        <w:t>.  I</w:t>
      </w:r>
      <w:r w:rsidR="006A62EA">
        <w:rPr>
          <w:bCs/>
          <w:color w:val="000000" w:themeColor="text1"/>
          <w:sz w:val="24"/>
          <w:szCs w:val="24"/>
        </w:rPr>
        <w:t xml:space="preserve">n my </w:t>
      </w:r>
      <w:r w:rsidR="009C3F63">
        <w:rPr>
          <w:bCs/>
          <w:color w:val="000000" w:themeColor="text1"/>
          <w:sz w:val="24"/>
          <w:szCs w:val="24"/>
        </w:rPr>
        <w:t xml:space="preserve">criminal law </w:t>
      </w:r>
      <w:r w:rsidR="006A62EA">
        <w:rPr>
          <w:bCs/>
          <w:color w:val="000000" w:themeColor="text1"/>
          <w:sz w:val="24"/>
          <w:szCs w:val="24"/>
        </w:rPr>
        <w:t xml:space="preserve">practice I </w:t>
      </w:r>
      <w:r w:rsidR="009C3F63">
        <w:rPr>
          <w:bCs/>
          <w:color w:val="000000" w:themeColor="text1"/>
          <w:sz w:val="24"/>
          <w:szCs w:val="24"/>
        </w:rPr>
        <w:t xml:space="preserve">have appeared in </w:t>
      </w:r>
      <w:r w:rsidR="009C7E89">
        <w:rPr>
          <w:bCs/>
          <w:color w:val="000000" w:themeColor="text1"/>
          <w:sz w:val="24"/>
          <w:szCs w:val="24"/>
        </w:rPr>
        <w:t xml:space="preserve">Supreme, County and town and village courts </w:t>
      </w:r>
      <w:r w:rsidR="00970E7F">
        <w:rPr>
          <w:bCs/>
          <w:color w:val="000000" w:themeColor="text1"/>
          <w:sz w:val="24"/>
          <w:szCs w:val="24"/>
        </w:rPr>
        <w:t xml:space="preserve">in </w:t>
      </w:r>
      <w:r w:rsidR="00C05D6C">
        <w:rPr>
          <w:bCs/>
          <w:color w:val="000000" w:themeColor="text1"/>
          <w:sz w:val="24"/>
          <w:szCs w:val="24"/>
        </w:rPr>
        <w:t xml:space="preserve">more than 20 counties </w:t>
      </w:r>
      <w:r w:rsidR="00970E7F">
        <w:rPr>
          <w:bCs/>
          <w:color w:val="000000" w:themeColor="text1"/>
          <w:sz w:val="24"/>
          <w:szCs w:val="24"/>
        </w:rPr>
        <w:t>throughout</w:t>
      </w:r>
      <w:r w:rsidR="00C05D6C">
        <w:rPr>
          <w:bCs/>
          <w:color w:val="000000" w:themeColor="text1"/>
          <w:sz w:val="24"/>
          <w:szCs w:val="24"/>
        </w:rPr>
        <w:t xml:space="preserve"> the Hudson Valley, </w:t>
      </w:r>
      <w:r w:rsidR="006A62EA">
        <w:rPr>
          <w:bCs/>
          <w:color w:val="000000" w:themeColor="text1"/>
          <w:sz w:val="24"/>
          <w:szCs w:val="24"/>
        </w:rPr>
        <w:t>the Capita</w:t>
      </w:r>
      <w:r w:rsidR="003E4E80">
        <w:rPr>
          <w:bCs/>
          <w:color w:val="000000" w:themeColor="text1"/>
          <w:sz w:val="24"/>
          <w:szCs w:val="24"/>
        </w:rPr>
        <w:t>l district and central New York over the past 47 years.</w:t>
      </w:r>
    </w:p>
    <w:p w14:paraId="4A9A5B23" w14:textId="77777777" w:rsidR="002A7431" w:rsidRDefault="002A7431" w:rsidP="000B160F">
      <w:pPr>
        <w:jc w:val="both"/>
        <w:rPr>
          <w:bCs/>
          <w:color w:val="000000" w:themeColor="text1"/>
          <w:sz w:val="24"/>
          <w:szCs w:val="24"/>
        </w:rPr>
      </w:pPr>
    </w:p>
    <w:p w14:paraId="0D044B81" w14:textId="1BC449E2" w:rsidR="002A7431" w:rsidRDefault="0045194D" w:rsidP="000B160F">
      <w:pPr>
        <w:jc w:val="both"/>
        <w:rPr>
          <w:bCs/>
          <w:color w:val="000000" w:themeColor="text1"/>
          <w:sz w:val="24"/>
          <w:szCs w:val="24"/>
        </w:rPr>
      </w:pPr>
      <w:r>
        <w:rPr>
          <w:bCs/>
          <w:color w:val="000000" w:themeColor="text1"/>
          <w:sz w:val="24"/>
          <w:szCs w:val="24"/>
        </w:rPr>
        <w:t>Throughout my career I have been</w:t>
      </w:r>
      <w:r w:rsidR="00561214">
        <w:rPr>
          <w:bCs/>
          <w:color w:val="000000" w:themeColor="text1"/>
          <w:sz w:val="24"/>
          <w:szCs w:val="24"/>
        </w:rPr>
        <w:t xml:space="preserve"> an</w:t>
      </w:r>
      <w:r>
        <w:rPr>
          <w:bCs/>
          <w:color w:val="000000" w:themeColor="text1"/>
          <w:sz w:val="24"/>
          <w:szCs w:val="24"/>
        </w:rPr>
        <w:t xml:space="preserve"> active</w:t>
      </w:r>
      <w:r w:rsidR="00561214">
        <w:rPr>
          <w:bCs/>
          <w:color w:val="000000" w:themeColor="text1"/>
          <w:sz w:val="24"/>
          <w:szCs w:val="24"/>
        </w:rPr>
        <w:t xml:space="preserve"> member</w:t>
      </w:r>
      <w:r>
        <w:rPr>
          <w:bCs/>
          <w:color w:val="000000" w:themeColor="text1"/>
          <w:sz w:val="24"/>
          <w:szCs w:val="24"/>
        </w:rPr>
        <w:t xml:space="preserve"> in various professional associations involved in criminal law</w:t>
      </w:r>
      <w:r w:rsidR="00561214">
        <w:rPr>
          <w:bCs/>
          <w:color w:val="000000" w:themeColor="text1"/>
          <w:sz w:val="24"/>
          <w:szCs w:val="24"/>
        </w:rPr>
        <w:t xml:space="preserve"> including the New York State Defenders Association, the New York State Associat</w:t>
      </w:r>
      <w:r w:rsidR="009C2D00">
        <w:rPr>
          <w:bCs/>
          <w:color w:val="000000" w:themeColor="text1"/>
          <w:sz w:val="24"/>
          <w:szCs w:val="24"/>
        </w:rPr>
        <w:t>ion of Criminal Defense Lawyer</w:t>
      </w:r>
      <w:r w:rsidR="00561214">
        <w:rPr>
          <w:bCs/>
          <w:color w:val="000000" w:themeColor="text1"/>
          <w:sz w:val="24"/>
          <w:szCs w:val="24"/>
        </w:rPr>
        <w:t>s and the New York State Bar Association where I recently was the co-chair of the subcommittee</w:t>
      </w:r>
      <w:r w:rsidR="002938CC">
        <w:rPr>
          <w:bCs/>
          <w:color w:val="000000" w:themeColor="text1"/>
          <w:sz w:val="24"/>
          <w:szCs w:val="24"/>
        </w:rPr>
        <w:t xml:space="preserve"> on Justice Courts of the Task Force on the Modernization of Criminal Practice, whose report was adopted by the NYSBA’s House of Delegates in June, 2023</w:t>
      </w:r>
    </w:p>
    <w:p w14:paraId="3210E06C" w14:textId="77777777" w:rsidR="002938CC" w:rsidRDefault="002938CC" w:rsidP="000B160F">
      <w:pPr>
        <w:jc w:val="both"/>
        <w:rPr>
          <w:bCs/>
          <w:color w:val="000000" w:themeColor="text1"/>
          <w:sz w:val="24"/>
          <w:szCs w:val="24"/>
        </w:rPr>
      </w:pPr>
    </w:p>
    <w:p w14:paraId="2C740840" w14:textId="71B55DBE" w:rsidR="00DD3E8F" w:rsidRDefault="00DD3E8F" w:rsidP="000B160F">
      <w:pPr>
        <w:jc w:val="both"/>
        <w:rPr>
          <w:bCs/>
          <w:color w:val="000000" w:themeColor="text1"/>
          <w:sz w:val="24"/>
          <w:szCs w:val="24"/>
        </w:rPr>
      </w:pPr>
      <w:r>
        <w:rPr>
          <w:bCs/>
          <w:color w:val="000000" w:themeColor="text1"/>
          <w:sz w:val="24"/>
          <w:szCs w:val="24"/>
        </w:rPr>
        <w:t xml:space="preserve">I have testified at various NYS legislative </w:t>
      </w:r>
      <w:r w:rsidR="000716E6">
        <w:rPr>
          <w:bCs/>
          <w:color w:val="000000" w:themeColor="text1"/>
          <w:sz w:val="24"/>
          <w:szCs w:val="24"/>
        </w:rPr>
        <w:t>(</w:t>
      </w:r>
      <w:r>
        <w:rPr>
          <w:bCs/>
          <w:color w:val="000000" w:themeColor="text1"/>
          <w:sz w:val="24"/>
          <w:szCs w:val="24"/>
        </w:rPr>
        <w:t>Senate, Assembly and joint</w:t>
      </w:r>
      <w:r w:rsidR="000716E6">
        <w:rPr>
          <w:bCs/>
          <w:color w:val="000000" w:themeColor="text1"/>
          <w:sz w:val="24"/>
          <w:szCs w:val="24"/>
        </w:rPr>
        <w:t>)</w:t>
      </w:r>
      <w:r>
        <w:rPr>
          <w:bCs/>
          <w:color w:val="000000" w:themeColor="text1"/>
          <w:sz w:val="24"/>
          <w:szCs w:val="24"/>
        </w:rPr>
        <w:t xml:space="preserve"> hearings</w:t>
      </w:r>
      <w:r w:rsidR="007F621B">
        <w:rPr>
          <w:bCs/>
          <w:color w:val="000000" w:themeColor="text1"/>
          <w:sz w:val="24"/>
          <w:szCs w:val="24"/>
        </w:rPr>
        <w:t>, Commission hearings and participated in panel discussions concerning</w:t>
      </w:r>
      <w:r>
        <w:rPr>
          <w:bCs/>
          <w:color w:val="000000" w:themeColor="text1"/>
          <w:sz w:val="24"/>
          <w:szCs w:val="24"/>
        </w:rPr>
        <w:t xml:space="preserve"> the future of the justice courts</w:t>
      </w:r>
      <w:r w:rsidR="000716E6">
        <w:rPr>
          <w:bCs/>
          <w:color w:val="000000" w:themeColor="text1"/>
          <w:sz w:val="24"/>
          <w:szCs w:val="24"/>
        </w:rPr>
        <w:t>, as recently as November, 2019.</w:t>
      </w:r>
    </w:p>
    <w:p w14:paraId="3BA05C24" w14:textId="77777777" w:rsidR="000716E6" w:rsidRDefault="000716E6" w:rsidP="000B160F">
      <w:pPr>
        <w:jc w:val="both"/>
        <w:rPr>
          <w:bCs/>
          <w:color w:val="000000" w:themeColor="text1"/>
          <w:sz w:val="24"/>
          <w:szCs w:val="24"/>
        </w:rPr>
      </w:pPr>
    </w:p>
    <w:p w14:paraId="18267FA4" w14:textId="4CCD6EDD" w:rsidR="0080452C" w:rsidRDefault="006A3C6F" w:rsidP="000B160F">
      <w:pPr>
        <w:jc w:val="both"/>
        <w:rPr>
          <w:bCs/>
          <w:color w:val="000000" w:themeColor="text1"/>
          <w:sz w:val="24"/>
          <w:szCs w:val="24"/>
        </w:rPr>
      </w:pPr>
      <w:r>
        <w:rPr>
          <w:bCs/>
          <w:color w:val="000000" w:themeColor="text1"/>
          <w:sz w:val="24"/>
          <w:szCs w:val="24"/>
        </w:rPr>
        <w:t xml:space="preserve"> </w:t>
      </w:r>
      <w:r w:rsidR="00E45C97">
        <w:rPr>
          <w:bCs/>
          <w:color w:val="000000" w:themeColor="text1"/>
          <w:sz w:val="24"/>
          <w:szCs w:val="24"/>
        </w:rPr>
        <w:t xml:space="preserve">I offer </w:t>
      </w:r>
      <w:r w:rsidR="006A11DD" w:rsidRPr="006A11DD">
        <w:rPr>
          <w:bCs/>
          <w:color w:val="000000" w:themeColor="text1"/>
          <w:sz w:val="24"/>
          <w:szCs w:val="24"/>
        </w:rPr>
        <w:t>the</w:t>
      </w:r>
      <w:r w:rsidR="00E45C97">
        <w:rPr>
          <w:bCs/>
          <w:color w:val="000000" w:themeColor="text1"/>
          <w:sz w:val="24"/>
          <w:szCs w:val="24"/>
        </w:rPr>
        <w:t>se comments</w:t>
      </w:r>
      <w:r w:rsidR="006A11DD" w:rsidRPr="006A11DD">
        <w:rPr>
          <w:bCs/>
          <w:color w:val="000000" w:themeColor="text1"/>
          <w:sz w:val="24"/>
          <w:szCs w:val="24"/>
        </w:rPr>
        <w:t xml:space="preserve"> to the</w:t>
      </w:r>
      <w:r w:rsidR="00E45C97">
        <w:rPr>
          <w:bCs/>
          <w:color w:val="000000" w:themeColor="text1"/>
          <w:sz w:val="24"/>
          <w:szCs w:val="24"/>
        </w:rPr>
        <w:t xml:space="preserve"> </w:t>
      </w:r>
      <w:r w:rsidR="006A11DD" w:rsidRPr="006A11DD">
        <w:rPr>
          <w:bCs/>
          <w:color w:val="000000" w:themeColor="text1"/>
          <w:sz w:val="24"/>
          <w:szCs w:val="24"/>
        </w:rPr>
        <w:t xml:space="preserve"> </w:t>
      </w:r>
      <w:r w:rsidR="00E45C97" w:rsidRPr="006A11DD">
        <w:rPr>
          <w:bCs/>
          <w:color w:val="000000" w:themeColor="text1"/>
          <w:sz w:val="24"/>
          <w:szCs w:val="24"/>
        </w:rPr>
        <w:t>proposed</w:t>
      </w:r>
      <w:r w:rsidR="00E45C97">
        <w:rPr>
          <w:bCs/>
          <w:color w:val="000000" w:themeColor="text1"/>
          <w:sz w:val="24"/>
          <w:szCs w:val="24"/>
        </w:rPr>
        <w:t xml:space="preserve"> Operating Rules and Procedures</w:t>
      </w:r>
      <w:r w:rsidR="00DF1026">
        <w:rPr>
          <w:bCs/>
          <w:color w:val="000000" w:themeColor="text1"/>
          <w:sz w:val="24"/>
          <w:szCs w:val="24"/>
        </w:rPr>
        <w:t xml:space="preserve"> of the </w:t>
      </w:r>
      <w:r w:rsidR="00DF1026" w:rsidRPr="006A11DD">
        <w:rPr>
          <w:bCs/>
          <w:color w:val="000000" w:themeColor="text1"/>
          <w:sz w:val="24"/>
          <w:szCs w:val="24"/>
        </w:rPr>
        <w:t>New</w:t>
      </w:r>
      <w:r w:rsidR="00DF1026">
        <w:rPr>
          <w:bCs/>
          <w:color w:val="000000" w:themeColor="text1"/>
          <w:sz w:val="24"/>
          <w:szCs w:val="24"/>
        </w:rPr>
        <w:t xml:space="preserve"> </w:t>
      </w:r>
      <w:r w:rsidR="00DF1026" w:rsidRPr="006A11DD">
        <w:rPr>
          <w:bCs/>
          <w:color w:val="000000" w:themeColor="text1"/>
          <w:sz w:val="24"/>
          <w:szCs w:val="24"/>
        </w:rPr>
        <w:t>York State Commission on Prosecutorial Conduct’s (the CPC)</w:t>
      </w:r>
      <w:r w:rsidR="00E45C97">
        <w:rPr>
          <w:bCs/>
          <w:color w:val="000000" w:themeColor="text1"/>
          <w:sz w:val="24"/>
          <w:szCs w:val="24"/>
        </w:rPr>
        <w:t xml:space="preserve">, </w:t>
      </w:r>
      <w:r w:rsidR="00E45C97" w:rsidRPr="006A11DD">
        <w:rPr>
          <w:bCs/>
          <w:color w:val="000000" w:themeColor="text1"/>
          <w:sz w:val="24"/>
          <w:szCs w:val="24"/>
        </w:rPr>
        <w:t xml:space="preserve">notice of which was published </w:t>
      </w:r>
      <w:r w:rsidR="00DF1026">
        <w:rPr>
          <w:bCs/>
          <w:color w:val="000000" w:themeColor="text1"/>
          <w:sz w:val="24"/>
          <w:szCs w:val="24"/>
        </w:rPr>
        <w:t xml:space="preserve">in the </w:t>
      </w:r>
      <w:r w:rsidR="00E45C97" w:rsidRPr="006A11DD">
        <w:rPr>
          <w:bCs/>
          <w:color w:val="000000" w:themeColor="text1"/>
          <w:sz w:val="24"/>
          <w:szCs w:val="24"/>
        </w:rPr>
        <w:t xml:space="preserve"> April </w:t>
      </w:r>
      <w:r w:rsidR="00DF1026">
        <w:rPr>
          <w:bCs/>
          <w:color w:val="000000" w:themeColor="text1"/>
          <w:sz w:val="24"/>
          <w:szCs w:val="24"/>
        </w:rPr>
        <w:t>24</w:t>
      </w:r>
      <w:bookmarkStart w:id="0" w:name="_GoBack"/>
      <w:bookmarkEnd w:id="0"/>
      <w:r w:rsidR="00DF1026">
        <w:rPr>
          <w:bCs/>
          <w:color w:val="000000" w:themeColor="text1"/>
          <w:sz w:val="24"/>
          <w:szCs w:val="24"/>
        </w:rPr>
        <w:t>, 2024 State Register.</w:t>
      </w:r>
    </w:p>
    <w:p w14:paraId="5596F5B9" w14:textId="052B05D9" w:rsidR="00DF1026" w:rsidRDefault="00AA07A2" w:rsidP="000B160F">
      <w:pPr>
        <w:jc w:val="both"/>
        <w:rPr>
          <w:sz w:val="24"/>
          <w:szCs w:val="24"/>
        </w:rPr>
      </w:pPr>
      <w:proofErr w:type="gramStart"/>
      <w:r>
        <w:rPr>
          <w:sz w:val="24"/>
          <w:szCs w:val="24"/>
        </w:rPr>
        <w:lastRenderedPageBreak/>
        <w:t>Page 2.</w:t>
      </w:r>
      <w:proofErr w:type="gramEnd"/>
    </w:p>
    <w:p w14:paraId="5720174F" w14:textId="77777777" w:rsidR="00AA07A2" w:rsidRDefault="00AA07A2" w:rsidP="000B160F">
      <w:pPr>
        <w:jc w:val="both"/>
        <w:rPr>
          <w:sz w:val="24"/>
          <w:szCs w:val="24"/>
        </w:rPr>
      </w:pPr>
    </w:p>
    <w:p w14:paraId="5E8C08A2" w14:textId="0A8419C3" w:rsidR="00AA07A2" w:rsidRDefault="00F02560" w:rsidP="000B160F">
      <w:pPr>
        <w:jc w:val="both"/>
        <w:rPr>
          <w:sz w:val="24"/>
          <w:szCs w:val="24"/>
        </w:rPr>
      </w:pPr>
      <w:r>
        <w:rPr>
          <w:sz w:val="24"/>
          <w:szCs w:val="24"/>
        </w:rPr>
        <w:t xml:space="preserve">I. </w:t>
      </w:r>
      <w:proofErr w:type="gramStart"/>
      <w:r>
        <w:rPr>
          <w:sz w:val="24"/>
          <w:szCs w:val="24"/>
        </w:rPr>
        <w:t>The</w:t>
      </w:r>
      <w:proofErr w:type="gramEnd"/>
      <w:r>
        <w:rPr>
          <w:sz w:val="24"/>
          <w:szCs w:val="24"/>
        </w:rPr>
        <w:t xml:space="preserve"> Commission’s jurisdiction must include the ability to investigate allegations of misconduct by</w:t>
      </w:r>
      <w:r w:rsidR="005B0EEC">
        <w:rPr>
          <w:sz w:val="24"/>
          <w:szCs w:val="24"/>
        </w:rPr>
        <w:t xml:space="preserve"> attorneys who are now former prosecutors, not just currently employed district attorneys and assistant district attorneys.</w:t>
      </w:r>
    </w:p>
    <w:p w14:paraId="08514C13" w14:textId="77777777" w:rsidR="00A20AE6" w:rsidRDefault="00A20AE6" w:rsidP="000B160F">
      <w:pPr>
        <w:jc w:val="both"/>
        <w:rPr>
          <w:sz w:val="24"/>
          <w:szCs w:val="24"/>
        </w:rPr>
      </w:pPr>
    </w:p>
    <w:p w14:paraId="31E02C33" w14:textId="6529A46F" w:rsidR="00A20AE6" w:rsidRDefault="00D872BF" w:rsidP="000B160F">
      <w:pPr>
        <w:ind w:firstLine="720"/>
        <w:jc w:val="both"/>
        <w:rPr>
          <w:sz w:val="24"/>
          <w:szCs w:val="24"/>
        </w:rPr>
      </w:pPr>
      <w:r>
        <w:rPr>
          <w:sz w:val="24"/>
          <w:szCs w:val="24"/>
        </w:rPr>
        <w:t xml:space="preserve">A). </w:t>
      </w:r>
      <w:r w:rsidR="00A20AE6">
        <w:rPr>
          <w:sz w:val="24"/>
          <w:szCs w:val="24"/>
        </w:rPr>
        <w:t>Section 10400.1 (m) defines “prosecutor” as “</w:t>
      </w:r>
      <w:r w:rsidR="00A20AE6" w:rsidRPr="00067646">
        <w:rPr>
          <w:sz w:val="24"/>
          <w:szCs w:val="24"/>
        </w:rPr>
        <w:t>a district attorney or any assistant district attorney of any county of the State in an action to exact any criminal penalty, fine, sanction or forfeiture</w:t>
      </w:r>
      <w:r w:rsidR="00A20AE6">
        <w:rPr>
          <w:sz w:val="24"/>
          <w:szCs w:val="24"/>
        </w:rPr>
        <w:t>.”  This definition must include those attorneys who are now former prosecutors, or those who might become former prosecutors.  After all, it is the misconduct of district attorneys and their assistants in years past, and the inadequate disciplining of such bad actors, that brought about the creation of the commission</w:t>
      </w:r>
    </w:p>
    <w:p w14:paraId="39FB9BAC" w14:textId="77777777" w:rsidR="00FB4FDE" w:rsidRDefault="00FB4FDE" w:rsidP="000B160F">
      <w:pPr>
        <w:jc w:val="both"/>
        <w:rPr>
          <w:sz w:val="24"/>
          <w:szCs w:val="24"/>
        </w:rPr>
      </w:pPr>
    </w:p>
    <w:p w14:paraId="118AA36F" w14:textId="48C481A0" w:rsidR="00556F7E" w:rsidRDefault="00556F7E" w:rsidP="000B160F">
      <w:pPr>
        <w:jc w:val="both"/>
        <w:rPr>
          <w:sz w:val="24"/>
          <w:szCs w:val="24"/>
        </w:rPr>
      </w:pPr>
      <w:r>
        <w:rPr>
          <w:sz w:val="24"/>
          <w:szCs w:val="24"/>
        </w:rPr>
        <w:t>New York’s legal community is often seen as a leader in many areas of jurisprudence.  Sadly, New York also</w:t>
      </w:r>
      <w:r w:rsidR="00E96245">
        <w:rPr>
          <w:sz w:val="24"/>
          <w:szCs w:val="24"/>
        </w:rPr>
        <w:t xml:space="preserve"> is among the national ‘leaders’ in wrongful convictions.  Those convictions often come as a result of prosecutorial misconduct.  It is the ‘attorney’</w:t>
      </w:r>
      <w:r w:rsidR="001861A5">
        <w:rPr>
          <w:sz w:val="24"/>
          <w:szCs w:val="24"/>
        </w:rPr>
        <w:t xml:space="preserve"> – the person who is privileged to be admitted as a member of the New York State Bar – working in their capacity as a prosecutor, who is the person who may have committed the misconduct</w:t>
      </w:r>
      <w:r w:rsidR="004F29ED">
        <w:rPr>
          <w:sz w:val="24"/>
          <w:szCs w:val="24"/>
        </w:rPr>
        <w:t>.  Should the Commission decide that only current prosecutors are subject to its investigative powers, and the discipline that may follow</w:t>
      </w:r>
      <w:r w:rsidR="006A2BBA">
        <w:rPr>
          <w:sz w:val="24"/>
          <w:szCs w:val="24"/>
        </w:rPr>
        <w:t>, it would be exonerating whole segments of the Bar – former prosecutors – from being held accountable for their unethical misconduct.</w:t>
      </w:r>
      <w:r w:rsidR="003E28E3">
        <w:rPr>
          <w:sz w:val="24"/>
          <w:szCs w:val="24"/>
        </w:rPr>
        <w:t xml:space="preserve">  It is the person, not the title</w:t>
      </w:r>
      <w:r w:rsidR="00601010">
        <w:rPr>
          <w:sz w:val="24"/>
          <w:szCs w:val="24"/>
        </w:rPr>
        <w:t xml:space="preserve"> </w:t>
      </w:r>
      <w:r w:rsidR="003E28E3">
        <w:rPr>
          <w:sz w:val="24"/>
          <w:szCs w:val="24"/>
        </w:rPr>
        <w:t>that is subject to discipline.</w:t>
      </w:r>
      <w:r w:rsidR="00D67419">
        <w:rPr>
          <w:sz w:val="24"/>
          <w:szCs w:val="24"/>
        </w:rPr>
        <w:t xml:space="preserve">  Such a whitewash is not the intent of the statu</w:t>
      </w:r>
      <w:r w:rsidR="00BF138F">
        <w:rPr>
          <w:sz w:val="24"/>
          <w:szCs w:val="24"/>
        </w:rPr>
        <w:t>te which created the Commission I response to those prior acts of misconduct.</w:t>
      </w:r>
    </w:p>
    <w:p w14:paraId="212FDF4D" w14:textId="77777777" w:rsidR="00554653" w:rsidRDefault="00554653" w:rsidP="000B160F">
      <w:pPr>
        <w:jc w:val="both"/>
        <w:rPr>
          <w:sz w:val="24"/>
          <w:szCs w:val="24"/>
        </w:rPr>
      </w:pPr>
    </w:p>
    <w:p w14:paraId="7E8BEAE4" w14:textId="77777777" w:rsidR="00BE0413" w:rsidRDefault="00554653" w:rsidP="000B160F">
      <w:pPr>
        <w:jc w:val="both"/>
        <w:rPr>
          <w:color w:val="000000"/>
          <w:sz w:val="24"/>
          <w:szCs w:val="24"/>
          <w:shd w:val="clear" w:color="auto" w:fill="FFFFFF"/>
        </w:rPr>
      </w:pPr>
      <w:r>
        <w:rPr>
          <w:sz w:val="24"/>
          <w:szCs w:val="24"/>
        </w:rPr>
        <w:t>For instance, the Commission should look at the decision of Hon. Joseph</w:t>
      </w:r>
      <w:r w:rsidR="006F3CEC">
        <w:rPr>
          <w:sz w:val="24"/>
          <w:szCs w:val="24"/>
        </w:rPr>
        <w:t xml:space="preserve"> A.</w:t>
      </w:r>
      <w:r>
        <w:rPr>
          <w:sz w:val="24"/>
          <w:szCs w:val="24"/>
        </w:rPr>
        <w:t xml:space="preserve"> </w:t>
      </w:r>
      <w:proofErr w:type="spellStart"/>
      <w:r>
        <w:rPr>
          <w:sz w:val="24"/>
          <w:szCs w:val="24"/>
        </w:rPr>
        <w:t>Zayas</w:t>
      </w:r>
      <w:proofErr w:type="spellEnd"/>
      <w:r>
        <w:rPr>
          <w:sz w:val="24"/>
          <w:szCs w:val="24"/>
        </w:rPr>
        <w:t xml:space="preserve">, Supreme Court, Queens County – before Justice </w:t>
      </w:r>
      <w:proofErr w:type="spellStart"/>
      <w:r>
        <w:rPr>
          <w:sz w:val="24"/>
          <w:szCs w:val="24"/>
        </w:rPr>
        <w:t>Zayas</w:t>
      </w:r>
      <w:proofErr w:type="spellEnd"/>
      <w:r>
        <w:rPr>
          <w:sz w:val="24"/>
          <w:szCs w:val="24"/>
        </w:rPr>
        <w:t xml:space="preserve"> became the Chief Administrative Judge for all the court</w:t>
      </w:r>
      <w:r w:rsidR="006F3CEC">
        <w:rPr>
          <w:sz w:val="24"/>
          <w:szCs w:val="24"/>
        </w:rPr>
        <w:t>s</w:t>
      </w:r>
      <w:r>
        <w:rPr>
          <w:sz w:val="24"/>
          <w:szCs w:val="24"/>
        </w:rPr>
        <w:t xml:space="preserve"> of the State of New York – in </w:t>
      </w:r>
      <w:r w:rsidR="006F3CEC">
        <w:rPr>
          <w:sz w:val="24"/>
          <w:szCs w:val="24"/>
        </w:rPr>
        <w:t>People v Bell, Bolt and Johnson (71 Misc. 3d 646).  There</w:t>
      </w:r>
      <w:r w:rsidR="009767A4">
        <w:rPr>
          <w:sz w:val="24"/>
          <w:szCs w:val="24"/>
        </w:rPr>
        <w:t xml:space="preserve">, in a death penalty eligible case involving the murder of 2 men, one being on off duty NYPD officer, the Queens District Attorney’s office repeatedly denied the existence of </w:t>
      </w:r>
      <w:r w:rsidR="009767A4">
        <w:rPr>
          <w:i/>
          <w:sz w:val="24"/>
          <w:szCs w:val="24"/>
        </w:rPr>
        <w:t>Brady</w:t>
      </w:r>
      <w:r w:rsidR="009767A4">
        <w:rPr>
          <w:sz w:val="24"/>
          <w:szCs w:val="24"/>
        </w:rPr>
        <w:t xml:space="preserve"> material that pointed to other individuals as the perpetrators</w:t>
      </w:r>
      <w:r w:rsidR="004F7A21">
        <w:rPr>
          <w:sz w:val="24"/>
          <w:szCs w:val="24"/>
        </w:rPr>
        <w:t xml:space="preserve">.  As Justice </w:t>
      </w:r>
      <w:proofErr w:type="spellStart"/>
      <w:r w:rsidR="004F7A21">
        <w:rPr>
          <w:sz w:val="24"/>
          <w:szCs w:val="24"/>
        </w:rPr>
        <w:t>Zayas</w:t>
      </w:r>
      <w:proofErr w:type="spellEnd"/>
      <w:r w:rsidR="004F7A21">
        <w:rPr>
          <w:sz w:val="24"/>
          <w:szCs w:val="24"/>
        </w:rPr>
        <w:t xml:space="preserve"> found, “</w:t>
      </w:r>
      <w:proofErr w:type="spellStart"/>
      <w:r w:rsidR="005518C5" w:rsidRPr="005518C5">
        <w:rPr>
          <w:color w:val="000000"/>
          <w:sz w:val="24"/>
          <w:szCs w:val="24"/>
          <w:shd w:val="clear" w:color="auto" w:fill="FFFFFF"/>
        </w:rPr>
        <w:t>Testagrossa's</w:t>
      </w:r>
      <w:proofErr w:type="spellEnd"/>
      <w:r w:rsidR="005518C5" w:rsidRPr="005518C5">
        <w:rPr>
          <w:color w:val="000000"/>
          <w:sz w:val="24"/>
          <w:szCs w:val="24"/>
          <w:shd w:val="clear" w:color="auto" w:fill="FFFFFF"/>
        </w:rPr>
        <w:t xml:space="preserve"> and </w:t>
      </w:r>
      <w:proofErr w:type="spellStart"/>
      <w:r w:rsidR="005518C5" w:rsidRPr="005518C5">
        <w:rPr>
          <w:color w:val="000000"/>
          <w:sz w:val="24"/>
          <w:szCs w:val="24"/>
          <w:shd w:val="clear" w:color="auto" w:fill="FFFFFF"/>
        </w:rPr>
        <w:t>Leventhal's</w:t>
      </w:r>
      <w:proofErr w:type="spellEnd"/>
      <w:r w:rsidR="005518C5" w:rsidRPr="005518C5">
        <w:rPr>
          <w:color w:val="000000"/>
          <w:sz w:val="24"/>
          <w:szCs w:val="24"/>
          <w:shd w:val="clear" w:color="auto" w:fill="FFFFFF"/>
        </w:rPr>
        <w:t xml:space="preserve"> vociferous denials, however, were completely false. It is now abundantly clear that their office possessed a significant amount of material that implicated the Boone-led </w:t>
      </w:r>
      <w:proofErr w:type="spellStart"/>
      <w:r w:rsidR="005518C5" w:rsidRPr="005518C5">
        <w:rPr>
          <w:color w:val="000000"/>
          <w:sz w:val="24"/>
          <w:szCs w:val="24"/>
          <w:shd w:val="clear" w:color="auto" w:fill="FFFFFF"/>
        </w:rPr>
        <w:t>Speedstick</w:t>
      </w:r>
      <w:proofErr w:type="spellEnd"/>
      <w:r w:rsidR="005518C5" w:rsidRPr="005518C5">
        <w:rPr>
          <w:color w:val="000000"/>
          <w:sz w:val="24"/>
          <w:szCs w:val="24"/>
          <w:shd w:val="clear" w:color="auto" w:fill="FFFFFF"/>
        </w:rPr>
        <w:t xml:space="preserve"> gang in this crime</w:t>
      </w:r>
      <w:r w:rsidR="005518C5">
        <w:rPr>
          <w:color w:val="000000"/>
          <w:sz w:val="24"/>
          <w:szCs w:val="24"/>
          <w:shd w:val="clear" w:color="auto" w:fill="FFFFFF"/>
        </w:rPr>
        <w:t>.” (</w:t>
      </w:r>
      <w:proofErr w:type="gramStart"/>
      <w:r w:rsidR="005518C5">
        <w:rPr>
          <w:color w:val="000000"/>
          <w:sz w:val="24"/>
          <w:szCs w:val="24"/>
          <w:shd w:val="clear" w:color="auto" w:fill="FFFFFF"/>
        </w:rPr>
        <w:t>at</w:t>
      </w:r>
      <w:proofErr w:type="gramEnd"/>
      <w:r w:rsidR="005518C5">
        <w:rPr>
          <w:color w:val="000000"/>
          <w:sz w:val="24"/>
          <w:szCs w:val="24"/>
          <w:shd w:val="clear" w:color="auto" w:fill="FFFFFF"/>
        </w:rPr>
        <w:t xml:space="preserve"> 660); and </w:t>
      </w:r>
      <w:r w:rsidR="000C67CD">
        <w:rPr>
          <w:color w:val="000000"/>
          <w:sz w:val="24"/>
          <w:szCs w:val="24"/>
          <w:shd w:val="clear" w:color="auto" w:fill="FFFFFF"/>
        </w:rPr>
        <w:t>“</w:t>
      </w:r>
      <w:r w:rsidR="000C67CD" w:rsidRPr="000C67CD">
        <w:rPr>
          <w:color w:val="000000"/>
          <w:sz w:val="24"/>
          <w:szCs w:val="24"/>
          <w:shd w:val="clear" w:color="auto" w:fill="FFFFFF"/>
        </w:rPr>
        <w:t xml:space="preserve">Equally clear is that </w:t>
      </w:r>
      <w:proofErr w:type="spellStart"/>
      <w:r w:rsidR="000C67CD" w:rsidRPr="000C67CD">
        <w:rPr>
          <w:color w:val="000000"/>
          <w:sz w:val="24"/>
          <w:szCs w:val="24"/>
          <w:shd w:val="clear" w:color="auto" w:fill="FFFFFF"/>
        </w:rPr>
        <w:t>Testagrossa</w:t>
      </w:r>
      <w:proofErr w:type="spellEnd"/>
      <w:r w:rsidR="000C67CD" w:rsidRPr="000C67CD">
        <w:rPr>
          <w:color w:val="000000"/>
          <w:sz w:val="24"/>
          <w:szCs w:val="24"/>
          <w:shd w:val="clear" w:color="auto" w:fill="FFFFFF"/>
        </w:rPr>
        <w:t xml:space="preserve"> had knowledge of this information, as evidenced by his own handwritten notes</w:t>
      </w:r>
      <w:r w:rsidR="000C67CD" w:rsidRPr="000C67CD">
        <w:rPr>
          <w:color w:val="000000"/>
          <w:sz w:val="24"/>
          <w:szCs w:val="24"/>
          <w:shd w:val="clear" w:color="auto" w:fill="FFFFFF"/>
        </w:rPr>
        <w:t>.”</w:t>
      </w:r>
      <w:r w:rsidR="000C67CD">
        <w:rPr>
          <w:color w:val="000000"/>
          <w:sz w:val="24"/>
          <w:szCs w:val="24"/>
          <w:shd w:val="clear" w:color="auto" w:fill="FFFFFF"/>
        </w:rPr>
        <w:t xml:space="preserve"> (</w:t>
      </w:r>
      <w:proofErr w:type="gramStart"/>
      <w:r w:rsidR="000C67CD">
        <w:rPr>
          <w:color w:val="000000"/>
          <w:sz w:val="24"/>
          <w:szCs w:val="24"/>
          <w:shd w:val="clear" w:color="auto" w:fill="FFFFFF"/>
        </w:rPr>
        <w:t>at</w:t>
      </w:r>
      <w:proofErr w:type="gramEnd"/>
      <w:r w:rsidR="000C67CD">
        <w:rPr>
          <w:color w:val="000000"/>
          <w:sz w:val="24"/>
          <w:szCs w:val="24"/>
          <w:shd w:val="clear" w:color="auto" w:fill="FFFFFF"/>
        </w:rPr>
        <w:t xml:space="preserve"> 660).</w:t>
      </w:r>
      <w:r w:rsidR="008E39F2">
        <w:rPr>
          <w:color w:val="000000"/>
          <w:sz w:val="24"/>
          <w:szCs w:val="24"/>
          <w:shd w:val="clear" w:color="auto" w:fill="FFFFFF"/>
        </w:rPr>
        <w:t xml:space="preserve">  </w:t>
      </w:r>
    </w:p>
    <w:p w14:paraId="15A0AAAF" w14:textId="29508373" w:rsidR="007C5CFB" w:rsidRPr="00C71179" w:rsidRDefault="0040188E" w:rsidP="000B160F">
      <w:pPr>
        <w:jc w:val="both"/>
        <w:rPr>
          <w:color w:val="000000"/>
          <w:sz w:val="24"/>
          <w:szCs w:val="24"/>
          <w:shd w:val="clear" w:color="auto" w:fill="FFFFFF"/>
        </w:rPr>
      </w:pPr>
      <w:r>
        <w:rPr>
          <w:color w:val="000000"/>
          <w:sz w:val="24"/>
          <w:szCs w:val="24"/>
          <w:shd w:val="clear" w:color="auto" w:fill="FFFFFF"/>
        </w:rPr>
        <w:t>The convicted defendants spent</w:t>
      </w:r>
      <w:r w:rsidR="008E39F2">
        <w:rPr>
          <w:color w:val="000000"/>
          <w:sz w:val="24"/>
          <w:szCs w:val="24"/>
          <w:shd w:val="clear" w:color="auto" w:fill="FFFFFF"/>
        </w:rPr>
        <w:t xml:space="preserve"> decades in prison for crimes they did not commit.</w:t>
      </w:r>
      <w:r w:rsidR="00C71179">
        <w:rPr>
          <w:color w:val="000000"/>
          <w:sz w:val="24"/>
          <w:szCs w:val="24"/>
          <w:shd w:val="clear" w:color="auto" w:fill="FFFFFF"/>
        </w:rPr>
        <w:t xml:space="preserve">  </w:t>
      </w:r>
      <w:r w:rsidR="00487AC6">
        <w:rPr>
          <w:color w:val="000000"/>
          <w:sz w:val="24"/>
          <w:szCs w:val="24"/>
          <w:shd w:val="clear" w:color="auto" w:fill="FFFFFF"/>
        </w:rPr>
        <w:t xml:space="preserve">Compounding this matter is that Charles </w:t>
      </w:r>
      <w:proofErr w:type="spellStart"/>
      <w:r w:rsidR="00487AC6">
        <w:rPr>
          <w:color w:val="000000"/>
          <w:sz w:val="24"/>
          <w:szCs w:val="24"/>
          <w:shd w:val="clear" w:color="auto" w:fill="FFFFFF"/>
        </w:rPr>
        <w:t>Testagrossa</w:t>
      </w:r>
      <w:proofErr w:type="spellEnd"/>
      <w:r w:rsidR="00487AC6">
        <w:rPr>
          <w:color w:val="000000"/>
          <w:sz w:val="24"/>
          <w:szCs w:val="24"/>
          <w:shd w:val="clear" w:color="auto" w:fill="FFFFFF"/>
        </w:rPr>
        <w:t xml:space="preserve"> was the </w:t>
      </w:r>
      <w:r w:rsidR="00487AC6" w:rsidRPr="00E57300">
        <w:rPr>
          <w:color w:val="000000"/>
          <w:sz w:val="24"/>
          <w:szCs w:val="24"/>
          <w:u w:val="single"/>
          <w:shd w:val="clear" w:color="auto" w:fill="FFFFFF"/>
        </w:rPr>
        <w:t>chief</w:t>
      </w:r>
      <w:r w:rsidR="00487AC6">
        <w:rPr>
          <w:color w:val="000000"/>
          <w:sz w:val="24"/>
          <w:szCs w:val="24"/>
          <w:shd w:val="clear" w:color="auto" w:fill="FFFFFF"/>
        </w:rPr>
        <w:t xml:space="preserve"> of the Queens District Attorney’s office’s Career Criminal/Major Crimes bureau at the time and Brad </w:t>
      </w:r>
      <w:proofErr w:type="spellStart"/>
      <w:r w:rsidR="00487AC6">
        <w:rPr>
          <w:color w:val="000000"/>
          <w:sz w:val="24"/>
          <w:szCs w:val="24"/>
          <w:shd w:val="clear" w:color="auto" w:fill="FFFFFF"/>
        </w:rPr>
        <w:t>Leventhal</w:t>
      </w:r>
      <w:proofErr w:type="spellEnd"/>
      <w:r w:rsidR="00487AC6">
        <w:rPr>
          <w:color w:val="000000"/>
          <w:sz w:val="24"/>
          <w:szCs w:val="24"/>
          <w:shd w:val="clear" w:color="auto" w:fill="FFFFFF"/>
        </w:rPr>
        <w:t xml:space="preserve"> a senior attorney in that office.  How many assistants did each of these ADA’s teach how to prosecute the most serious of crimes</w:t>
      </w:r>
      <w:r w:rsidR="007C5CFB">
        <w:rPr>
          <w:color w:val="000000"/>
          <w:sz w:val="24"/>
          <w:szCs w:val="24"/>
          <w:shd w:val="clear" w:color="auto" w:fill="FFFFFF"/>
        </w:rPr>
        <w:t xml:space="preserve">? </w:t>
      </w:r>
      <w:r>
        <w:rPr>
          <w:color w:val="000000"/>
          <w:sz w:val="24"/>
          <w:szCs w:val="24"/>
          <w:shd w:val="clear" w:color="auto" w:fill="FFFFFF"/>
        </w:rPr>
        <w:t xml:space="preserve">I believe that each of these attorneys is no longer a prosecutor. </w:t>
      </w:r>
      <w:r w:rsidR="007C5CFB">
        <w:rPr>
          <w:color w:val="000000"/>
          <w:sz w:val="24"/>
          <w:szCs w:val="24"/>
          <w:shd w:val="clear" w:color="auto" w:fill="FFFFFF"/>
        </w:rPr>
        <w:t xml:space="preserve">To allow Justice </w:t>
      </w:r>
      <w:proofErr w:type="spellStart"/>
      <w:r w:rsidR="007C5CFB">
        <w:rPr>
          <w:color w:val="000000"/>
          <w:sz w:val="24"/>
          <w:szCs w:val="24"/>
          <w:shd w:val="clear" w:color="auto" w:fill="FFFFFF"/>
        </w:rPr>
        <w:t>Zayas</w:t>
      </w:r>
      <w:proofErr w:type="spellEnd"/>
      <w:r w:rsidR="007C5CFB">
        <w:rPr>
          <w:color w:val="000000"/>
          <w:sz w:val="24"/>
          <w:szCs w:val="24"/>
          <w:shd w:val="clear" w:color="auto" w:fill="FFFFFF"/>
        </w:rPr>
        <w:t>’ findings to go uninvestigated by this Commission would be a travesty of justice of the highest order.</w:t>
      </w:r>
      <w:r w:rsidR="00CD0081">
        <w:rPr>
          <w:color w:val="000000"/>
          <w:sz w:val="24"/>
          <w:szCs w:val="24"/>
          <w:shd w:val="clear" w:color="auto" w:fill="FFFFFF"/>
        </w:rPr>
        <w:t xml:space="preserve">  This are the very actions of prosecutors that this Commission was created to investigate.</w:t>
      </w:r>
    </w:p>
    <w:p w14:paraId="32391CA2" w14:textId="77777777" w:rsidR="00FA7BF5" w:rsidRDefault="00FA7BF5" w:rsidP="000B160F">
      <w:pPr>
        <w:jc w:val="both"/>
        <w:rPr>
          <w:sz w:val="24"/>
          <w:szCs w:val="24"/>
        </w:rPr>
      </w:pPr>
    </w:p>
    <w:p w14:paraId="540C512F" w14:textId="0F0DB8DD" w:rsidR="00FA7BF5" w:rsidRDefault="00FA7BF5" w:rsidP="000B160F">
      <w:pPr>
        <w:jc w:val="both"/>
        <w:rPr>
          <w:sz w:val="24"/>
          <w:szCs w:val="24"/>
        </w:rPr>
      </w:pPr>
      <w:r>
        <w:rPr>
          <w:sz w:val="24"/>
          <w:szCs w:val="24"/>
        </w:rPr>
        <w:t>Should an investigation by the Commission result in a referral to the appropriate Disciplinary or Gr</w:t>
      </w:r>
      <w:r w:rsidR="008E2C9F">
        <w:rPr>
          <w:sz w:val="24"/>
          <w:szCs w:val="24"/>
        </w:rPr>
        <w:t>i</w:t>
      </w:r>
      <w:r>
        <w:rPr>
          <w:sz w:val="24"/>
          <w:szCs w:val="24"/>
        </w:rPr>
        <w:t xml:space="preserve">evance </w:t>
      </w:r>
      <w:r w:rsidR="008E2C9F">
        <w:rPr>
          <w:sz w:val="24"/>
          <w:szCs w:val="24"/>
        </w:rPr>
        <w:t xml:space="preserve">committee of </w:t>
      </w:r>
      <w:r w:rsidR="00F51B56">
        <w:rPr>
          <w:sz w:val="24"/>
          <w:szCs w:val="24"/>
        </w:rPr>
        <w:t>the Appellate Division, what</w:t>
      </w:r>
      <w:r w:rsidR="008E2C9F">
        <w:rPr>
          <w:sz w:val="24"/>
          <w:szCs w:val="24"/>
        </w:rPr>
        <w:t xml:space="preserve"> sanctions, </w:t>
      </w:r>
      <w:r w:rsidR="00283664">
        <w:rPr>
          <w:sz w:val="24"/>
          <w:szCs w:val="24"/>
        </w:rPr>
        <w:t>if any, are to be imposed are imposed against</w:t>
      </w:r>
      <w:r w:rsidR="008E2C9F">
        <w:rPr>
          <w:sz w:val="24"/>
          <w:szCs w:val="24"/>
        </w:rPr>
        <w:t xml:space="preserve"> the p</w:t>
      </w:r>
      <w:r w:rsidR="00944271">
        <w:rPr>
          <w:sz w:val="24"/>
          <w:szCs w:val="24"/>
        </w:rPr>
        <w:t>erson, not the office they held at the time they committed the misconduct.</w:t>
      </w:r>
    </w:p>
    <w:p w14:paraId="227D5034" w14:textId="77777777" w:rsidR="004E25A0" w:rsidRDefault="004E25A0" w:rsidP="000B160F">
      <w:pPr>
        <w:jc w:val="both"/>
        <w:rPr>
          <w:sz w:val="24"/>
          <w:szCs w:val="24"/>
        </w:rPr>
      </w:pPr>
    </w:p>
    <w:p w14:paraId="6ED90114" w14:textId="77777777" w:rsidR="000F5AE9" w:rsidRDefault="000F5AE9" w:rsidP="000B160F">
      <w:pPr>
        <w:jc w:val="both"/>
        <w:rPr>
          <w:sz w:val="24"/>
          <w:szCs w:val="24"/>
        </w:rPr>
      </w:pPr>
      <w:proofErr w:type="gramStart"/>
      <w:r>
        <w:rPr>
          <w:sz w:val="24"/>
          <w:szCs w:val="24"/>
        </w:rPr>
        <w:lastRenderedPageBreak/>
        <w:t>Page 3.</w:t>
      </w:r>
      <w:proofErr w:type="gramEnd"/>
    </w:p>
    <w:p w14:paraId="62F2E1BA" w14:textId="77777777" w:rsidR="00C60131" w:rsidRDefault="00C60131" w:rsidP="000B160F">
      <w:pPr>
        <w:jc w:val="both"/>
        <w:rPr>
          <w:sz w:val="24"/>
          <w:szCs w:val="24"/>
        </w:rPr>
      </w:pPr>
    </w:p>
    <w:p w14:paraId="1DC0C94B" w14:textId="71BA44E0" w:rsidR="00BB1778" w:rsidRDefault="00BB1778" w:rsidP="000B160F">
      <w:pPr>
        <w:ind w:firstLine="720"/>
        <w:jc w:val="both"/>
        <w:rPr>
          <w:sz w:val="24"/>
          <w:szCs w:val="24"/>
        </w:rPr>
      </w:pPr>
      <w:r>
        <w:rPr>
          <w:sz w:val="24"/>
          <w:szCs w:val="24"/>
        </w:rPr>
        <w:t xml:space="preserve">B). </w:t>
      </w:r>
      <w:proofErr w:type="gramStart"/>
      <w:r w:rsidR="00995E0B">
        <w:rPr>
          <w:sz w:val="24"/>
          <w:szCs w:val="24"/>
        </w:rPr>
        <w:t>C</w:t>
      </w:r>
      <w:r w:rsidR="001C68C8">
        <w:rPr>
          <w:sz w:val="24"/>
          <w:szCs w:val="24"/>
        </w:rPr>
        <w:t>ould</w:t>
      </w:r>
      <w:proofErr w:type="gramEnd"/>
      <w:r w:rsidR="001C68C8">
        <w:rPr>
          <w:sz w:val="24"/>
          <w:szCs w:val="24"/>
        </w:rPr>
        <w:t xml:space="preserve"> a current ‘prosecutor’ against whom a complaint has been filed, avoid an investigation by the Commission simply by resigning their position as a prosecutor and move on to practice law in another capacity?</w:t>
      </w:r>
      <w:r w:rsidR="008F6975">
        <w:rPr>
          <w:sz w:val="24"/>
          <w:szCs w:val="24"/>
        </w:rPr>
        <w:t xml:space="preserve">  </w:t>
      </w:r>
    </w:p>
    <w:p w14:paraId="2979BDA8" w14:textId="77777777" w:rsidR="00BB1778" w:rsidRDefault="00BB1778" w:rsidP="000B160F">
      <w:pPr>
        <w:jc w:val="both"/>
        <w:rPr>
          <w:sz w:val="24"/>
          <w:szCs w:val="24"/>
        </w:rPr>
      </w:pPr>
    </w:p>
    <w:p w14:paraId="7904ADBE" w14:textId="77777777" w:rsidR="00F87E98" w:rsidRDefault="00BB1778" w:rsidP="000B160F">
      <w:pPr>
        <w:jc w:val="both"/>
        <w:rPr>
          <w:sz w:val="24"/>
          <w:szCs w:val="24"/>
        </w:rPr>
      </w:pPr>
      <w:r>
        <w:rPr>
          <w:sz w:val="24"/>
          <w:szCs w:val="24"/>
        </w:rPr>
        <w:t>Section 10400.1 (o) defines ‘retirement’</w:t>
      </w:r>
      <w:r w:rsidR="00F87E98">
        <w:rPr>
          <w:sz w:val="24"/>
          <w:szCs w:val="24"/>
        </w:rPr>
        <w:t xml:space="preserve"> </w:t>
      </w:r>
      <w:r w:rsidR="00F87E98" w:rsidRPr="00F87E98">
        <w:rPr>
          <w:sz w:val="24"/>
          <w:szCs w:val="24"/>
        </w:rPr>
        <w:t>“</w:t>
      </w:r>
      <w:r w:rsidRPr="00F87E98">
        <w:rPr>
          <w:sz w:val="24"/>
          <w:szCs w:val="24"/>
        </w:rPr>
        <w:t>the voluntary or mandatory cessation of active employment as a prosecutor, as demonstrated with proper proof</w:t>
      </w:r>
      <w:r w:rsidR="00F87E98" w:rsidRPr="00F87E98">
        <w:rPr>
          <w:sz w:val="24"/>
          <w:szCs w:val="24"/>
        </w:rPr>
        <w:t xml:space="preserve">”. </w:t>
      </w:r>
    </w:p>
    <w:p w14:paraId="2B75F8EC" w14:textId="77777777" w:rsidR="00F87E98" w:rsidRDefault="00F87E98" w:rsidP="000B160F">
      <w:pPr>
        <w:jc w:val="both"/>
        <w:rPr>
          <w:sz w:val="24"/>
          <w:szCs w:val="24"/>
        </w:rPr>
      </w:pPr>
    </w:p>
    <w:p w14:paraId="2F5CC9C1" w14:textId="77777777" w:rsidR="00BB21DE" w:rsidRDefault="008F6975" w:rsidP="000B160F">
      <w:pPr>
        <w:jc w:val="both"/>
        <w:rPr>
          <w:sz w:val="24"/>
          <w:szCs w:val="24"/>
        </w:rPr>
      </w:pPr>
      <w:r>
        <w:rPr>
          <w:sz w:val="24"/>
          <w:szCs w:val="24"/>
        </w:rPr>
        <w:t xml:space="preserve">One cannot escape accountability for one’s past actions </w:t>
      </w:r>
      <w:r w:rsidR="00C05653">
        <w:rPr>
          <w:sz w:val="24"/>
          <w:szCs w:val="24"/>
        </w:rPr>
        <w:t>by simply ‘retiring’ from being a prosecutor</w:t>
      </w:r>
      <w:r>
        <w:rPr>
          <w:sz w:val="24"/>
          <w:szCs w:val="24"/>
        </w:rPr>
        <w:t>.  The discipline that the Commission recommends to the Gr</w:t>
      </w:r>
      <w:r w:rsidR="00CD530D">
        <w:rPr>
          <w:sz w:val="24"/>
          <w:szCs w:val="24"/>
        </w:rPr>
        <w:t xml:space="preserve">ievance Committee </w:t>
      </w:r>
      <w:r>
        <w:rPr>
          <w:sz w:val="24"/>
          <w:szCs w:val="24"/>
        </w:rPr>
        <w:t>and the discipline the Grievance Committee recommends to the Court</w:t>
      </w:r>
      <w:r w:rsidR="00D644C3">
        <w:rPr>
          <w:sz w:val="24"/>
          <w:szCs w:val="24"/>
        </w:rPr>
        <w:t xml:space="preserve"> would be imposed</w:t>
      </w:r>
      <w:r w:rsidR="009F2CD5">
        <w:rPr>
          <w:sz w:val="24"/>
          <w:szCs w:val="24"/>
        </w:rPr>
        <w:t xml:space="preserve"> upon the individual attorney and will address that person’s fitness to practice law as an attorney.</w:t>
      </w:r>
      <w:r w:rsidR="00332AC5">
        <w:rPr>
          <w:sz w:val="24"/>
          <w:szCs w:val="24"/>
        </w:rPr>
        <w:t xml:space="preserve"> </w:t>
      </w:r>
    </w:p>
    <w:p w14:paraId="2F7B1276" w14:textId="77777777" w:rsidR="00163A9F" w:rsidRDefault="00163A9F" w:rsidP="000B160F">
      <w:pPr>
        <w:jc w:val="both"/>
        <w:rPr>
          <w:sz w:val="24"/>
          <w:szCs w:val="24"/>
        </w:rPr>
      </w:pPr>
    </w:p>
    <w:p w14:paraId="4F99B264" w14:textId="7F4113F6" w:rsidR="001C68C8" w:rsidRDefault="00163A9F" w:rsidP="000B160F">
      <w:pPr>
        <w:jc w:val="both"/>
        <w:rPr>
          <w:sz w:val="24"/>
          <w:szCs w:val="24"/>
        </w:rPr>
      </w:pPr>
      <w:r>
        <w:rPr>
          <w:sz w:val="24"/>
          <w:szCs w:val="24"/>
        </w:rPr>
        <w:t xml:space="preserve">An analogous situation can be found in </w:t>
      </w:r>
      <w:r w:rsidR="00332AC5">
        <w:rPr>
          <w:sz w:val="24"/>
          <w:szCs w:val="24"/>
        </w:rPr>
        <w:t xml:space="preserve">22 NYCRR §1240.10 </w:t>
      </w:r>
      <w:r w:rsidR="00BE1E37">
        <w:rPr>
          <w:sz w:val="24"/>
          <w:szCs w:val="24"/>
        </w:rPr>
        <w:t xml:space="preserve">(1) </w:t>
      </w:r>
      <w:r>
        <w:rPr>
          <w:sz w:val="24"/>
          <w:szCs w:val="24"/>
        </w:rPr>
        <w:t xml:space="preserve">which </w:t>
      </w:r>
      <w:r w:rsidR="00332AC5">
        <w:rPr>
          <w:sz w:val="24"/>
          <w:szCs w:val="24"/>
        </w:rPr>
        <w:t>allows an attorney to resign</w:t>
      </w:r>
      <w:r w:rsidR="00BE1E37">
        <w:rPr>
          <w:sz w:val="24"/>
          <w:szCs w:val="24"/>
        </w:rPr>
        <w:t xml:space="preserve"> while under investigation if it is done so ‘voluntarily’ and with an admission that the attorney could not defend themself against the charges or allegations</w:t>
      </w:r>
      <w:r w:rsidR="00AE4D99">
        <w:rPr>
          <w:sz w:val="24"/>
          <w:szCs w:val="24"/>
        </w:rPr>
        <w:t>.  With such admissions, the</w:t>
      </w:r>
      <w:r w:rsidR="00B76B53">
        <w:rPr>
          <w:sz w:val="24"/>
          <w:szCs w:val="24"/>
        </w:rPr>
        <w:t xml:space="preserve"> attorney is disbarred by the Court.</w:t>
      </w:r>
      <w:r w:rsidR="008A131F">
        <w:rPr>
          <w:sz w:val="24"/>
          <w:szCs w:val="24"/>
        </w:rPr>
        <w:t xml:space="preserve">  Should a prosecutor, or former prosecutor under investigation wish to resign under those circumstances, they should be allowed to in accordance with 22 NYCRR §1240.10(1), and be disbarred.  </w:t>
      </w:r>
      <w:r w:rsidR="000E1E6F">
        <w:rPr>
          <w:sz w:val="24"/>
          <w:szCs w:val="24"/>
        </w:rPr>
        <w:t>A prosecutor should not be permitted to avoid an investigation, and accountability, by ‘retiring’ from being a prosecutor.</w:t>
      </w:r>
    </w:p>
    <w:p w14:paraId="256F3088" w14:textId="77777777" w:rsidR="007461E2" w:rsidRDefault="007461E2" w:rsidP="000B160F">
      <w:pPr>
        <w:jc w:val="both"/>
        <w:rPr>
          <w:sz w:val="24"/>
          <w:szCs w:val="24"/>
        </w:rPr>
      </w:pPr>
    </w:p>
    <w:p w14:paraId="2B99B03F" w14:textId="5E94C7DF" w:rsidR="007461E2" w:rsidRDefault="007461E2" w:rsidP="000B160F">
      <w:pPr>
        <w:jc w:val="both"/>
        <w:rPr>
          <w:sz w:val="24"/>
          <w:szCs w:val="24"/>
        </w:rPr>
      </w:pPr>
      <w:r>
        <w:rPr>
          <w:sz w:val="24"/>
          <w:szCs w:val="24"/>
        </w:rPr>
        <w:t>“Retirement” as used here is not analogous to the definition</w:t>
      </w:r>
      <w:r w:rsidR="008A1B43">
        <w:rPr>
          <w:sz w:val="24"/>
          <w:szCs w:val="24"/>
        </w:rPr>
        <w:t xml:space="preserve"> of ‘retired’</w:t>
      </w:r>
      <w:r>
        <w:rPr>
          <w:sz w:val="24"/>
          <w:szCs w:val="24"/>
        </w:rPr>
        <w:t xml:space="preserve"> found in 22 NYCRR §7000.1 (p) which applies ONLY to a judge who is incapable of performing their judicial duties due to physical or mental incapacity, not misconduct.</w:t>
      </w:r>
    </w:p>
    <w:p w14:paraId="14321788" w14:textId="77777777" w:rsidR="00AF03D6" w:rsidRDefault="00AF03D6" w:rsidP="000B160F">
      <w:pPr>
        <w:jc w:val="both"/>
        <w:rPr>
          <w:sz w:val="24"/>
          <w:szCs w:val="24"/>
        </w:rPr>
      </w:pPr>
    </w:p>
    <w:p w14:paraId="3C5EDE95" w14:textId="7D7F3570" w:rsidR="008C5D77" w:rsidRDefault="00B631EA" w:rsidP="000B160F">
      <w:pPr>
        <w:jc w:val="both"/>
        <w:rPr>
          <w:sz w:val="24"/>
          <w:szCs w:val="24"/>
        </w:rPr>
      </w:pPr>
      <w:r>
        <w:rPr>
          <w:sz w:val="24"/>
          <w:szCs w:val="24"/>
        </w:rPr>
        <w:t>The definition of ‘retirement’ has no purpose here and should be removed.  To th</w:t>
      </w:r>
      <w:r w:rsidR="00BD5C5F">
        <w:rPr>
          <w:sz w:val="24"/>
          <w:szCs w:val="24"/>
        </w:rPr>
        <w:t>e extent that it suggests that a ‘retired’ former prosecutor is not a ‘prosecutor’ subject to the jurisdiction of the Commission it is void.</w:t>
      </w:r>
      <w:r w:rsidR="00CB682D">
        <w:rPr>
          <w:sz w:val="24"/>
          <w:szCs w:val="24"/>
        </w:rPr>
        <w:t xml:space="preserve">  </w:t>
      </w:r>
      <w:r w:rsidR="00B619CC">
        <w:rPr>
          <w:sz w:val="24"/>
          <w:szCs w:val="24"/>
        </w:rPr>
        <w:t>The definition of ‘prosecutor’ must include former district attorneys and form</w:t>
      </w:r>
      <w:r w:rsidR="00AE4D99">
        <w:rPr>
          <w:sz w:val="24"/>
          <w:szCs w:val="24"/>
        </w:rPr>
        <w:t>er assistant district attorneys, including ‘retired’ district attorneys and their ‘retired’ assistants.</w:t>
      </w:r>
    </w:p>
    <w:p w14:paraId="4D170A82" w14:textId="77777777" w:rsidR="00CB682D" w:rsidRDefault="00CB682D" w:rsidP="000B160F">
      <w:pPr>
        <w:jc w:val="both"/>
        <w:rPr>
          <w:sz w:val="24"/>
          <w:szCs w:val="24"/>
        </w:rPr>
      </w:pPr>
    </w:p>
    <w:p w14:paraId="78AE7862" w14:textId="1489ABC7" w:rsidR="00B619CC" w:rsidRDefault="00B619CC" w:rsidP="000B160F">
      <w:pPr>
        <w:jc w:val="both"/>
        <w:rPr>
          <w:sz w:val="24"/>
          <w:szCs w:val="24"/>
        </w:rPr>
      </w:pPr>
      <w:r>
        <w:rPr>
          <w:sz w:val="24"/>
          <w:szCs w:val="24"/>
        </w:rPr>
        <w:t xml:space="preserve">II. </w:t>
      </w:r>
      <w:r w:rsidR="007F5F5D">
        <w:rPr>
          <w:sz w:val="24"/>
          <w:szCs w:val="24"/>
        </w:rPr>
        <w:t>A “letter of dismissal and advisement” is not authorized by statute and undermines the purpose of the Commission.</w:t>
      </w:r>
    </w:p>
    <w:p w14:paraId="7FDE770A" w14:textId="77777777" w:rsidR="007F5F5D" w:rsidRDefault="007F5F5D" w:rsidP="000B160F">
      <w:pPr>
        <w:jc w:val="both"/>
        <w:rPr>
          <w:sz w:val="24"/>
          <w:szCs w:val="24"/>
        </w:rPr>
      </w:pPr>
    </w:p>
    <w:p w14:paraId="008FAF90" w14:textId="50B6FA2E" w:rsidR="007F5F5D" w:rsidRDefault="007F5F5D" w:rsidP="000B160F">
      <w:pPr>
        <w:jc w:val="both"/>
        <w:rPr>
          <w:sz w:val="24"/>
          <w:szCs w:val="24"/>
        </w:rPr>
      </w:pPr>
      <w:r>
        <w:rPr>
          <w:sz w:val="24"/>
          <w:szCs w:val="24"/>
        </w:rPr>
        <w:t>Section 10400.1 (m) defines a “</w:t>
      </w:r>
      <w:r w:rsidRPr="007F5F5D">
        <w:rPr>
          <w:sz w:val="24"/>
          <w:szCs w:val="24"/>
        </w:rPr>
        <w:t>Letter of dismissal and advisement</w:t>
      </w:r>
      <w:r w:rsidR="00164879">
        <w:rPr>
          <w:sz w:val="24"/>
          <w:szCs w:val="24"/>
        </w:rPr>
        <w:t>” as “</w:t>
      </w:r>
      <w:r w:rsidRPr="007F5F5D">
        <w:rPr>
          <w:sz w:val="24"/>
          <w:szCs w:val="24"/>
        </w:rPr>
        <w:t>a written notice issued by the commission, informing the prosecutor that the complaint has been dismissed, but advising them about potentially problematic conduct identified during the review process.</w:t>
      </w:r>
      <w:r w:rsidR="00164879">
        <w:rPr>
          <w:sz w:val="24"/>
          <w:szCs w:val="24"/>
        </w:rPr>
        <w:t>”</w:t>
      </w:r>
    </w:p>
    <w:p w14:paraId="4D6AC614" w14:textId="77777777" w:rsidR="009217F2" w:rsidRDefault="009217F2" w:rsidP="000B160F">
      <w:pPr>
        <w:jc w:val="both"/>
        <w:rPr>
          <w:sz w:val="24"/>
          <w:szCs w:val="24"/>
        </w:rPr>
      </w:pPr>
    </w:p>
    <w:p w14:paraId="143DCBFA" w14:textId="021032DC" w:rsidR="009217F2" w:rsidRDefault="009217F2" w:rsidP="000B160F">
      <w:pPr>
        <w:jc w:val="both"/>
        <w:rPr>
          <w:sz w:val="24"/>
          <w:szCs w:val="24"/>
        </w:rPr>
      </w:pPr>
      <w:r>
        <w:rPr>
          <w:sz w:val="24"/>
          <w:szCs w:val="24"/>
        </w:rPr>
        <w:t>The purpose of the Commission, as set forth in 499-</w:t>
      </w:r>
      <w:proofErr w:type="gramStart"/>
      <w:r>
        <w:rPr>
          <w:sz w:val="24"/>
          <w:szCs w:val="24"/>
        </w:rPr>
        <w:t>a of</w:t>
      </w:r>
      <w:proofErr w:type="gramEnd"/>
      <w:r>
        <w:rPr>
          <w:sz w:val="24"/>
          <w:szCs w:val="24"/>
        </w:rPr>
        <w:t xml:space="preserve"> the Judiciary Law is clear – ‘review and investigate the conduct of prosecutors</w:t>
      </w:r>
      <w:r w:rsidR="0025041C">
        <w:rPr>
          <w:sz w:val="24"/>
          <w:szCs w:val="24"/>
        </w:rPr>
        <w:t>”</w:t>
      </w:r>
      <w:r w:rsidR="008777CB">
        <w:rPr>
          <w:sz w:val="24"/>
          <w:szCs w:val="24"/>
        </w:rPr>
        <w:t xml:space="preserve"> </w:t>
      </w:r>
      <w:r w:rsidR="0025041C">
        <w:rPr>
          <w:sz w:val="24"/>
          <w:szCs w:val="24"/>
        </w:rPr>
        <w:t>to examine whether they committed conduct in violation of the law, and the rights of private persons.</w:t>
      </w:r>
      <w:r w:rsidR="008777CB">
        <w:rPr>
          <w:sz w:val="24"/>
          <w:szCs w:val="24"/>
        </w:rPr>
        <w:t xml:space="preserve">  Nowhere in the enabling statute is there a provision, or even a hint that the Commission’s purpose is to advise prosecutors about ‘potentially problematic conduct’.</w:t>
      </w:r>
    </w:p>
    <w:p w14:paraId="7EB9EDE1" w14:textId="77777777" w:rsidR="00441F3C" w:rsidRDefault="00441F3C" w:rsidP="000B160F">
      <w:pPr>
        <w:jc w:val="both"/>
        <w:rPr>
          <w:sz w:val="24"/>
          <w:szCs w:val="24"/>
        </w:rPr>
      </w:pPr>
    </w:p>
    <w:p w14:paraId="11E15881" w14:textId="77777777" w:rsidR="00E778B3" w:rsidRDefault="00E778B3" w:rsidP="000B160F">
      <w:pPr>
        <w:jc w:val="both"/>
        <w:rPr>
          <w:sz w:val="24"/>
          <w:szCs w:val="24"/>
        </w:rPr>
      </w:pPr>
    </w:p>
    <w:p w14:paraId="46D5BB26" w14:textId="77777777" w:rsidR="00E778B3" w:rsidRDefault="00E778B3" w:rsidP="000B160F">
      <w:pPr>
        <w:jc w:val="both"/>
        <w:rPr>
          <w:sz w:val="24"/>
          <w:szCs w:val="24"/>
        </w:rPr>
      </w:pPr>
      <w:proofErr w:type="gramStart"/>
      <w:r>
        <w:rPr>
          <w:sz w:val="24"/>
          <w:szCs w:val="24"/>
        </w:rPr>
        <w:lastRenderedPageBreak/>
        <w:t>Page 4.</w:t>
      </w:r>
      <w:proofErr w:type="gramEnd"/>
      <w:r>
        <w:rPr>
          <w:sz w:val="24"/>
          <w:szCs w:val="24"/>
        </w:rPr>
        <w:t xml:space="preserve">  </w:t>
      </w:r>
    </w:p>
    <w:p w14:paraId="0D0D006B" w14:textId="77777777" w:rsidR="00E778B3" w:rsidRDefault="00E778B3" w:rsidP="000B160F">
      <w:pPr>
        <w:jc w:val="both"/>
        <w:rPr>
          <w:sz w:val="24"/>
          <w:szCs w:val="24"/>
        </w:rPr>
      </w:pPr>
    </w:p>
    <w:p w14:paraId="3DE7D2AA" w14:textId="1CB26877" w:rsidR="00441F3C" w:rsidRDefault="00441F3C" w:rsidP="000B160F">
      <w:pPr>
        <w:jc w:val="both"/>
        <w:rPr>
          <w:sz w:val="24"/>
          <w:szCs w:val="24"/>
        </w:rPr>
      </w:pPr>
      <w:r>
        <w:rPr>
          <w:sz w:val="24"/>
          <w:szCs w:val="24"/>
        </w:rPr>
        <w:t xml:space="preserve">If a prosecutor has engaged in </w:t>
      </w:r>
      <w:r>
        <w:rPr>
          <w:sz w:val="24"/>
          <w:szCs w:val="24"/>
        </w:rPr>
        <w:t>‘potentially problematic conduct</w:t>
      </w:r>
      <w:r>
        <w:rPr>
          <w:sz w:val="24"/>
          <w:szCs w:val="24"/>
        </w:rPr>
        <w:t>’, a term that is nowhere defined</w:t>
      </w:r>
      <w:r w:rsidR="00F45C02">
        <w:rPr>
          <w:sz w:val="24"/>
          <w:szCs w:val="24"/>
        </w:rPr>
        <w:t xml:space="preserve"> in the statute, the regulations or by case law, that conduct is either misconduct, which should result in a finding and recommendation to the appropriate Grievance Committee, or it is not.</w:t>
      </w:r>
    </w:p>
    <w:p w14:paraId="5961FDBC" w14:textId="77777777" w:rsidR="0049645C" w:rsidRDefault="0049645C" w:rsidP="000B160F">
      <w:pPr>
        <w:jc w:val="both"/>
        <w:rPr>
          <w:sz w:val="24"/>
          <w:szCs w:val="24"/>
        </w:rPr>
      </w:pPr>
    </w:p>
    <w:p w14:paraId="6BABC2B0" w14:textId="6AA7C43A" w:rsidR="00995E0B" w:rsidRDefault="0049645C" w:rsidP="000B160F">
      <w:pPr>
        <w:jc w:val="both"/>
        <w:rPr>
          <w:sz w:val="24"/>
          <w:szCs w:val="24"/>
        </w:rPr>
      </w:pPr>
      <w:r>
        <w:rPr>
          <w:sz w:val="24"/>
          <w:szCs w:val="24"/>
        </w:rPr>
        <w:t>The Commission is not charged with advising prosecutors of what some might call ‘best practices’</w:t>
      </w:r>
      <w:r w:rsidR="009A364F">
        <w:rPr>
          <w:sz w:val="24"/>
          <w:szCs w:val="24"/>
        </w:rPr>
        <w:t>. This definition, along with</w:t>
      </w:r>
      <w:r w:rsidR="00053877">
        <w:rPr>
          <w:sz w:val="24"/>
          <w:szCs w:val="24"/>
        </w:rPr>
        <w:t xml:space="preserve"> Section 10400.3 (b</w:t>
      </w:r>
      <w:r w:rsidR="00053877" w:rsidRPr="00053877">
        <w:rPr>
          <w:sz w:val="24"/>
          <w:szCs w:val="24"/>
        </w:rPr>
        <w:t xml:space="preserve">) </w:t>
      </w:r>
      <w:proofErr w:type="gramStart"/>
      <w:r w:rsidR="00053877" w:rsidRPr="00053877">
        <w:rPr>
          <w:sz w:val="24"/>
          <w:szCs w:val="24"/>
        </w:rPr>
        <w:t>Notwithstanding</w:t>
      </w:r>
      <w:proofErr w:type="gramEnd"/>
      <w:r w:rsidR="00053877" w:rsidRPr="00053877">
        <w:rPr>
          <w:sz w:val="24"/>
          <w:szCs w:val="24"/>
        </w:rPr>
        <w:t xml:space="preserve"> the dismissal of a </w:t>
      </w:r>
    </w:p>
    <w:p w14:paraId="65D812DB" w14:textId="77777777" w:rsidR="00995E0B" w:rsidRDefault="00995E0B" w:rsidP="000B160F">
      <w:pPr>
        <w:jc w:val="both"/>
        <w:rPr>
          <w:sz w:val="24"/>
          <w:szCs w:val="24"/>
        </w:rPr>
      </w:pPr>
    </w:p>
    <w:p w14:paraId="1C742F44" w14:textId="3758D45F" w:rsidR="00576F09" w:rsidRDefault="00053877" w:rsidP="000B160F">
      <w:pPr>
        <w:jc w:val="both"/>
        <w:rPr>
          <w:sz w:val="24"/>
          <w:szCs w:val="24"/>
        </w:rPr>
      </w:pPr>
      <w:r w:rsidRPr="00053877">
        <w:rPr>
          <w:sz w:val="24"/>
          <w:szCs w:val="24"/>
        </w:rPr>
        <w:t>complaint, the commission may issue the prosecutor a confidential letter of dismissal and advisement containing confidential comments with respect</w:t>
      </w:r>
      <w:r w:rsidR="005F1013">
        <w:rPr>
          <w:sz w:val="24"/>
          <w:szCs w:val="24"/>
        </w:rPr>
        <w:t xml:space="preserve"> to the complaint; and </w:t>
      </w:r>
      <w:r w:rsidR="005571F7" w:rsidRPr="00053877">
        <w:rPr>
          <w:sz w:val="24"/>
          <w:szCs w:val="24"/>
        </w:rPr>
        <w:t>Section 10400.7 (f) which</w:t>
      </w:r>
      <w:r w:rsidR="005571F7">
        <w:rPr>
          <w:sz w:val="24"/>
          <w:szCs w:val="24"/>
        </w:rPr>
        <w:t xml:space="preserve"> includes: “</w:t>
      </w:r>
      <w:r w:rsidR="005571F7" w:rsidRPr="005571F7">
        <w:rPr>
          <w:sz w:val="24"/>
          <w:szCs w:val="24"/>
        </w:rPr>
        <w:t>In connection with dismissal, the commission may issue a letter of dismissal and advisement to the prosecutor containing confidential comments, suggestions, and recommendations with respect to the complaint, initial review, inquiry, or investigation.</w:t>
      </w:r>
      <w:r w:rsidR="005571F7">
        <w:rPr>
          <w:sz w:val="24"/>
          <w:szCs w:val="24"/>
        </w:rPr>
        <w:t>”</w:t>
      </w:r>
      <w:r w:rsidR="00CF76B7">
        <w:rPr>
          <w:sz w:val="24"/>
          <w:szCs w:val="24"/>
        </w:rPr>
        <w:t xml:space="preserve"> </w:t>
      </w:r>
      <w:r w:rsidR="005F1013">
        <w:rPr>
          <w:sz w:val="24"/>
          <w:szCs w:val="24"/>
        </w:rPr>
        <w:t>are simply not authorized by the Judiciary Law.</w:t>
      </w:r>
      <w:r w:rsidR="00576F09">
        <w:rPr>
          <w:sz w:val="24"/>
          <w:szCs w:val="24"/>
        </w:rPr>
        <w:t xml:space="preserve"> </w:t>
      </w:r>
    </w:p>
    <w:p w14:paraId="07DAA95E" w14:textId="77777777" w:rsidR="00576F09" w:rsidRDefault="00576F09" w:rsidP="000B160F">
      <w:pPr>
        <w:jc w:val="both"/>
        <w:rPr>
          <w:sz w:val="24"/>
          <w:szCs w:val="24"/>
        </w:rPr>
      </w:pPr>
    </w:p>
    <w:p w14:paraId="6C5B3033" w14:textId="3A17AFD2" w:rsidR="009132D8" w:rsidRDefault="00576F09" w:rsidP="000B160F">
      <w:pPr>
        <w:jc w:val="both"/>
        <w:rPr>
          <w:sz w:val="24"/>
          <w:szCs w:val="24"/>
        </w:rPr>
      </w:pPr>
      <w:r>
        <w:rPr>
          <w:sz w:val="24"/>
          <w:szCs w:val="24"/>
        </w:rPr>
        <w:t xml:space="preserve">Nor is the threat found in Section 10400.7 – where the letter of advisement could be considered if the prosecutor has further difficulties.  </w:t>
      </w:r>
      <w:r w:rsidR="009132D8">
        <w:rPr>
          <w:sz w:val="24"/>
          <w:szCs w:val="24"/>
        </w:rPr>
        <w:t>In the most simplistic terms, this ‘caution’ is how a parent may discipline a child – What you did was wrong but I am not going to punish you this time, but if you do  it again, well, I will remember that you did it this time.</w:t>
      </w:r>
    </w:p>
    <w:p w14:paraId="65D4CDDA" w14:textId="77777777" w:rsidR="00216D49" w:rsidRDefault="00216D49" w:rsidP="000B160F">
      <w:pPr>
        <w:jc w:val="both"/>
        <w:rPr>
          <w:sz w:val="24"/>
          <w:szCs w:val="24"/>
        </w:rPr>
      </w:pPr>
    </w:p>
    <w:p w14:paraId="2FE9FF62" w14:textId="27CEC9A7" w:rsidR="00216D49" w:rsidRDefault="00216D49" w:rsidP="000B160F">
      <w:pPr>
        <w:jc w:val="both"/>
        <w:rPr>
          <w:sz w:val="24"/>
          <w:szCs w:val="24"/>
        </w:rPr>
      </w:pPr>
      <w:r>
        <w:rPr>
          <w:sz w:val="24"/>
          <w:szCs w:val="24"/>
        </w:rPr>
        <w:t>Either the ‘problematic’ conduct rose to the level of misconduct, or it did not.</w:t>
      </w:r>
    </w:p>
    <w:p w14:paraId="0A563227" w14:textId="77777777" w:rsidR="00216D49" w:rsidRDefault="00216D49" w:rsidP="000B160F">
      <w:pPr>
        <w:jc w:val="both"/>
        <w:rPr>
          <w:sz w:val="24"/>
          <w:szCs w:val="24"/>
        </w:rPr>
      </w:pPr>
    </w:p>
    <w:p w14:paraId="1DDEDD34" w14:textId="2FBAD1AA" w:rsidR="003E695F" w:rsidRDefault="00216D49" w:rsidP="000B160F">
      <w:pPr>
        <w:jc w:val="both"/>
        <w:rPr>
          <w:sz w:val="24"/>
          <w:szCs w:val="24"/>
        </w:rPr>
      </w:pPr>
      <w:r>
        <w:rPr>
          <w:sz w:val="24"/>
          <w:szCs w:val="24"/>
        </w:rPr>
        <w:t xml:space="preserve">No doubt this notion was appropriated from the similar provisions found in </w:t>
      </w:r>
      <w:r w:rsidR="00EF2A3F">
        <w:rPr>
          <w:sz w:val="24"/>
          <w:szCs w:val="24"/>
        </w:rPr>
        <w:t xml:space="preserve">the regulations of the Commission on Judicial Conduct – 22 NYCRR 7000.1 (o); </w:t>
      </w:r>
      <w:r w:rsidR="00EC61DD">
        <w:rPr>
          <w:sz w:val="24"/>
          <w:szCs w:val="24"/>
        </w:rPr>
        <w:t xml:space="preserve">.3 (c); and .4.  However, </w:t>
      </w:r>
      <w:r w:rsidR="00246BB9">
        <w:rPr>
          <w:sz w:val="24"/>
          <w:szCs w:val="24"/>
        </w:rPr>
        <w:t>there are signi</w:t>
      </w:r>
      <w:r w:rsidR="001E46B7">
        <w:rPr>
          <w:sz w:val="24"/>
          <w:szCs w:val="24"/>
        </w:rPr>
        <w:t>ficant differences between the two</w:t>
      </w:r>
      <w:r w:rsidR="00246BB9">
        <w:rPr>
          <w:sz w:val="24"/>
          <w:szCs w:val="24"/>
        </w:rPr>
        <w:t xml:space="preserve"> Commissions.  The purpose of THIS Commission is the investigate allegations that a prosecutor violated the rights of private persons in the performance </w:t>
      </w:r>
    </w:p>
    <w:p w14:paraId="1AD26EC7" w14:textId="77777777" w:rsidR="0053610E" w:rsidRDefault="0053610E" w:rsidP="000B160F">
      <w:pPr>
        <w:jc w:val="both"/>
        <w:rPr>
          <w:sz w:val="24"/>
          <w:szCs w:val="24"/>
        </w:rPr>
      </w:pPr>
    </w:p>
    <w:p w14:paraId="431ACA15" w14:textId="176F5E5A" w:rsidR="00216D49" w:rsidRDefault="00540805" w:rsidP="000B160F">
      <w:pPr>
        <w:jc w:val="both"/>
        <w:rPr>
          <w:color w:val="212529"/>
          <w:sz w:val="24"/>
          <w:szCs w:val="24"/>
          <w:shd w:val="clear" w:color="auto" w:fill="FFFFFF"/>
        </w:rPr>
      </w:pPr>
      <w:proofErr w:type="gramStart"/>
      <w:r>
        <w:rPr>
          <w:sz w:val="24"/>
          <w:szCs w:val="24"/>
        </w:rPr>
        <w:t>of</w:t>
      </w:r>
      <w:proofErr w:type="gramEnd"/>
      <w:r>
        <w:rPr>
          <w:sz w:val="24"/>
          <w:szCs w:val="24"/>
        </w:rPr>
        <w:t xml:space="preserve"> their duties as a prosecutor. T</w:t>
      </w:r>
      <w:r w:rsidR="00246BB9">
        <w:rPr>
          <w:sz w:val="24"/>
          <w:szCs w:val="24"/>
        </w:rPr>
        <w:t>he purpose of the Commission on J</w:t>
      </w:r>
      <w:r w:rsidR="00F070FA">
        <w:rPr>
          <w:sz w:val="24"/>
          <w:szCs w:val="24"/>
        </w:rPr>
        <w:t>udi</w:t>
      </w:r>
      <w:r w:rsidR="0055593E">
        <w:rPr>
          <w:sz w:val="24"/>
          <w:szCs w:val="24"/>
        </w:rPr>
        <w:t>cial Conduct is different.  That</w:t>
      </w:r>
      <w:r w:rsidR="00F070FA">
        <w:rPr>
          <w:sz w:val="24"/>
          <w:szCs w:val="24"/>
        </w:rPr>
        <w:t xml:space="preserve"> constitutional </w:t>
      </w:r>
      <w:r w:rsidR="00C5144F">
        <w:rPr>
          <w:sz w:val="24"/>
          <w:szCs w:val="24"/>
        </w:rPr>
        <w:t>commission has, as its purpose, to investigate the “…</w:t>
      </w:r>
      <w:r w:rsidR="00F070FA" w:rsidRPr="00F070FA">
        <w:rPr>
          <w:color w:val="212529"/>
          <w:sz w:val="24"/>
          <w:szCs w:val="24"/>
          <w:shd w:val="clear" w:color="auto" w:fill="FFFFFF"/>
        </w:rPr>
        <w:t>conduct, qualifications, fitness to perform</w:t>
      </w:r>
      <w:r w:rsidR="00C5144F">
        <w:rPr>
          <w:color w:val="212529"/>
          <w:sz w:val="24"/>
          <w:szCs w:val="24"/>
          <w:shd w:val="clear" w:color="auto" w:fill="FFFFFF"/>
        </w:rPr>
        <w:t xml:space="preserve">…” the duties of a judge or justice. </w:t>
      </w:r>
      <w:proofErr w:type="gramStart"/>
      <w:r w:rsidR="00C5144F">
        <w:rPr>
          <w:color w:val="212529"/>
          <w:sz w:val="24"/>
          <w:szCs w:val="24"/>
          <w:shd w:val="clear" w:color="auto" w:fill="FFFFFF"/>
        </w:rPr>
        <w:t>(</w:t>
      </w:r>
      <w:r w:rsidR="00AE0FE8">
        <w:rPr>
          <w:color w:val="212529"/>
          <w:sz w:val="24"/>
          <w:szCs w:val="24"/>
          <w:shd w:val="clear" w:color="auto" w:fill="FFFFFF"/>
        </w:rPr>
        <w:t>NYS Constitution, Article VI; § 22).</w:t>
      </w:r>
      <w:proofErr w:type="gramEnd"/>
      <w:r w:rsidR="00AE0FE8">
        <w:rPr>
          <w:color w:val="212529"/>
          <w:sz w:val="24"/>
          <w:szCs w:val="24"/>
          <w:shd w:val="clear" w:color="auto" w:fill="FFFFFF"/>
        </w:rPr>
        <w:t xml:space="preserve">  Implicit in </w:t>
      </w:r>
      <w:r w:rsidR="002623E7">
        <w:rPr>
          <w:color w:val="212529"/>
          <w:sz w:val="24"/>
          <w:szCs w:val="24"/>
          <w:shd w:val="clear" w:color="auto" w:fill="FFFFFF"/>
        </w:rPr>
        <w:t>the Constitution is that among the sanction</w:t>
      </w:r>
      <w:r w:rsidR="00494C02">
        <w:rPr>
          <w:color w:val="212529"/>
          <w:sz w:val="24"/>
          <w:szCs w:val="24"/>
          <w:shd w:val="clear" w:color="auto" w:fill="FFFFFF"/>
        </w:rPr>
        <w:t>s</w:t>
      </w:r>
      <w:r w:rsidR="002623E7">
        <w:rPr>
          <w:color w:val="212529"/>
          <w:sz w:val="24"/>
          <w:szCs w:val="24"/>
          <w:shd w:val="clear" w:color="auto" w:fill="FFFFFF"/>
        </w:rPr>
        <w:t xml:space="preserve"> the Court of Appeals can impose upon a finding </w:t>
      </w:r>
      <w:r w:rsidR="00102C74">
        <w:rPr>
          <w:color w:val="212529"/>
          <w:sz w:val="24"/>
          <w:szCs w:val="24"/>
          <w:shd w:val="clear" w:color="auto" w:fill="FFFFFF"/>
        </w:rPr>
        <w:t>of unfitnes</w:t>
      </w:r>
      <w:r w:rsidR="004E798B">
        <w:rPr>
          <w:color w:val="212529"/>
          <w:sz w:val="24"/>
          <w:szCs w:val="24"/>
          <w:shd w:val="clear" w:color="auto" w:fill="FFFFFF"/>
        </w:rPr>
        <w:t>s, are</w:t>
      </w:r>
      <w:r w:rsidR="00102C74">
        <w:rPr>
          <w:color w:val="212529"/>
          <w:sz w:val="24"/>
          <w:szCs w:val="24"/>
          <w:shd w:val="clear" w:color="auto" w:fill="FFFFFF"/>
        </w:rPr>
        <w:t xml:space="preserve"> lesser, or even no sanction.  In other words, the Court, and therefore the Commission (acting u</w:t>
      </w:r>
      <w:r w:rsidR="00553688">
        <w:rPr>
          <w:color w:val="212529"/>
          <w:sz w:val="24"/>
          <w:szCs w:val="24"/>
          <w:shd w:val="clear" w:color="auto" w:fill="FFFFFF"/>
        </w:rPr>
        <w:t>nder authority of the Court) has the leeway to</w:t>
      </w:r>
      <w:r w:rsidR="00102C74">
        <w:rPr>
          <w:color w:val="212529"/>
          <w:sz w:val="24"/>
          <w:szCs w:val="24"/>
          <w:shd w:val="clear" w:color="auto" w:fill="FFFFFF"/>
        </w:rPr>
        <w:t xml:space="preserve"> educate an errant judge or jus</w:t>
      </w:r>
      <w:r w:rsidR="00FE297F">
        <w:rPr>
          <w:color w:val="212529"/>
          <w:sz w:val="24"/>
          <w:szCs w:val="24"/>
          <w:shd w:val="clear" w:color="auto" w:fill="FFFFFF"/>
        </w:rPr>
        <w:t>tice in the proper circumstance, hence, a letter of caution.</w:t>
      </w:r>
    </w:p>
    <w:p w14:paraId="2B34A187" w14:textId="77777777" w:rsidR="00213D3E" w:rsidRDefault="00213D3E" w:rsidP="000B160F">
      <w:pPr>
        <w:jc w:val="both"/>
        <w:rPr>
          <w:color w:val="212529"/>
          <w:sz w:val="24"/>
          <w:szCs w:val="24"/>
          <w:shd w:val="clear" w:color="auto" w:fill="FFFFFF"/>
        </w:rPr>
      </w:pPr>
    </w:p>
    <w:p w14:paraId="1D259448" w14:textId="114372E2" w:rsidR="00213D3E" w:rsidRDefault="00213D3E" w:rsidP="000B160F">
      <w:pPr>
        <w:jc w:val="both"/>
        <w:rPr>
          <w:color w:val="212529"/>
          <w:sz w:val="24"/>
          <w:szCs w:val="24"/>
          <w:shd w:val="clear" w:color="auto" w:fill="FFFFFF"/>
        </w:rPr>
      </w:pPr>
      <w:r>
        <w:rPr>
          <w:color w:val="212529"/>
          <w:sz w:val="24"/>
          <w:szCs w:val="24"/>
          <w:shd w:val="clear" w:color="auto" w:fill="FFFFFF"/>
        </w:rPr>
        <w:t>Not so the errant prosecutor.</w:t>
      </w:r>
      <w:r w:rsidR="00075CB6">
        <w:rPr>
          <w:color w:val="212529"/>
          <w:sz w:val="24"/>
          <w:szCs w:val="24"/>
          <w:shd w:val="clear" w:color="auto" w:fill="FFFFFF"/>
        </w:rPr>
        <w:t xml:space="preserve">  All of the proposed rules pertaining to this ‘letter of advisement’ and the pointing out of ‘</w:t>
      </w:r>
      <w:r w:rsidR="004C115A">
        <w:rPr>
          <w:color w:val="212529"/>
          <w:sz w:val="24"/>
          <w:szCs w:val="24"/>
          <w:shd w:val="clear" w:color="auto" w:fill="FFFFFF"/>
        </w:rPr>
        <w:t>potentially problematic conduct’ must be removed.</w:t>
      </w:r>
    </w:p>
    <w:p w14:paraId="3DBCDBA7" w14:textId="77777777" w:rsidR="004C115A" w:rsidRDefault="004C115A" w:rsidP="000B160F">
      <w:pPr>
        <w:jc w:val="both"/>
        <w:rPr>
          <w:color w:val="212529"/>
          <w:sz w:val="24"/>
          <w:szCs w:val="24"/>
          <w:shd w:val="clear" w:color="auto" w:fill="FFFFFF"/>
        </w:rPr>
      </w:pPr>
    </w:p>
    <w:p w14:paraId="639AFA14" w14:textId="27271027" w:rsidR="004C115A" w:rsidRDefault="007F3E10" w:rsidP="000B160F">
      <w:pPr>
        <w:jc w:val="both"/>
        <w:rPr>
          <w:color w:val="212529"/>
          <w:sz w:val="24"/>
          <w:szCs w:val="24"/>
          <w:shd w:val="clear" w:color="auto" w:fill="FFFFFF"/>
        </w:rPr>
      </w:pPr>
      <w:r>
        <w:rPr>
          <w:color w:val="212529"/>
          <w:sz w:val="24"/>
          <w:szCs w:val="24"/>
          <w:shd w:val="clear" w:color="auto" w:fill="FFFFFF"/>
        </w:rPr>
        <w:t xml:space="preserve">III. </w:t>
      </w:r>
      <w:r w:rsidR="00024F31">
        <w:rPr>
          <w:color w:val="212529"/>
          <w:sz w:val="24"/>
          <w:szCs w:val="24"/>
          <w:shd w:val="clear" w:color="auto" w:fill="FFFFFF"/>
        </w:rPr>
        <w:t>Findings of fact and recommendations should be sent to the attorney grievance committee</w:t>
      </w:r>
      <w:r w:rsidR="00640D3F">
        <w:rPr>
          <w:color w:val="212529"/>
          <w:sz w:val="24"/>
          <w:szCs w:val="24"/>
          <w:shd w:val="clear" w:color="auto" w:fill="FFFFFF"/>
        </w:rPr>
        <w:t xml:space="preserve"> of the appellate division</w:t>
      </w:r>
      <w:r w:rsidR="00024F31">
        <w:rPr>
          <w:color w:val="212529"/>
          <w:sz w:val="24"/>
          <w:szCs w:val="24"/>
          <w:shd w:val="clear" w:color="auto" w:fill="FFFFFF"/>
        </w:rPr>
        <w:t xml:space="preserve"> in the </w:t>
      </w:r>
      <w:r w:rsidR="00640D3F">
        <w:rPr>
          <w:color w:val="212529"/>
          <w:sz w:val="24"/>
          <w:szCs w:val="24"/>
          <w:shd w:val="clear" w:color="auto" w:fill="FFFFFF"/>
        </w:rPr>
        <w:t>department where the attorney is currently practicing.</w:t>
      </w:r>
    </w:p>
    <w:p w14:paraId="61AAA1E8" w14:textId="77777777" w:rsidR="001A5872" w:rsidRDefault="001A5872" w:rsidP="000B160F">
      <w:pPr>
        <w:jc w:val="both"/>
        <w:rPr>
          <w:color w:val="212529"/>
          <w:sz w:val="24"/>
          <w:szCs w:val="24"/>
          <w:shd w:val="clear" w:color="auto" w:fill="FFFFFF"/>
        </w:rPr>
      </w:pPr>
    </w:p>
    <w:p w14:paraId="0D86D381" w14:textId="77777777" w:rsidR="00A554AB" w:rsidRDefault="00640D3F" w:rsidP="000B160F">
      <w:pPr>
        <w:jc w:val="both"/>
        <w:rPr>
          <w:color w:val="212529"/>
          <w:sz w:val="24"/>
          <w:szCs w:val="24"/>
          <w:shd w:val="clear" w:color="auto" w:fill="FFFFFF"/>
        </w:rPr>
      </w:pPr>
      <w:r>
        <w:rPr>
          <w:color w:val="212529"/>
          <w:sz w:val="24"/>
          <w:szCs w:val="24"/>
          <w:shd w:val="clear" w:color="auto" w:fill="FFFFFF"/>
        </w:rPr>
        <w:t>Section 10400.7(b) provides for the findings of fact, recommendations and the record to be transmitted to the</w:t>
      </w:r>
      <w:r w:rsidR="00A90F27">
        <w:rPr>
          <w:color w:val="212529"/>
          <w:sz w:val="24"/>
          <w:szCs w:val="24"/>
          <w:shd w:val="clear" w:color="auto" w:fill="FFFFFF"/>
        </w:rPr>
        <w:t xml:space="preserve"> </w:t>
      </w:r>
      <w:r w:rsidR="00A90F27">
        <w:rPr>
          <w:color w:val="212529"/>
          <w:sz w:val="24"/>
          <w:szCs w:val="24"/>
          <w:shd w:val="clear" w:color="auto" w:fill="FFFFFF"/>
        </w:rPr>
        <w:t>attorney grievance committee of the appellate division in the department where the attorney</w:t>
      </w:r>
      <w:r w:rsidR="00A90F27">
        <w:rPr>
          <w:color w:val="212529"/>
          <w:sz w:val="24"/>
          <w:szCs w:val="24"/>
          <w:shd w:val="clear" w:color="auto" w:fill="FFFFFF"/>
        </w:rPr>
        <w:t xml:space="preserve"> was first admitted.  Man</w:t>
      </w:r>
      <w:r w:rsidR="00962C6D">
        <w:rPr>
          <w:color w:val="212529"/>
          <w:sz w:val="24"/>
          <w:szCs w:val="24"/>
          <w:shd w:val="clear" w:color="auto" w:fill="FFFFFF"/>
        </w:rPr>
        <w:t>y</w:t>
      </w:r>
      <w:r w:rsidR="00A90F27">
        <w:rPr>
          <w:color w:val="212529"/>
          <w:sz w:val="24"/>
          <w:szCs w:val="24"/>
          <w:shd w:val="clear" w:color="auto" w:fill="FFFFFF"/>
        </w:rPr>
        <w:t xml:space="preserve"> attorneys no longer practice in the department where they were first admitted.  The appropriate grievance committee </w:t>
      </w:r>
      <w:r w:rsidR="00962C6D">
        <w:rPr>
          <w:color w:val="212529"/>
          <w:sz w:val="24"/>
          <w:szCs w:val="24"/>
          <w:shd w:val="clear" w:color="auto" w:fill="FFFFFF"/>
        </w:rPr>
        <w:t xml:space="preserve">to receive and consider the findings of </w:t>
      </w:r>
    </w:p>
    <w:p w14:paraId="623DD981" w14:textId="77777777" w:rsidR="00A554AB" w:rsidRDefault="00A554AB" w:rsidP="000B160F">
      <w:pPr>
        <w:jc w:val="both"/>
        <w:rPr>
          <w:color w:val="212529"/>
          <w:sz w:val="24"/>
          <w:szCs w:val="24"/>
          <w:shd w:val="clear" w:color="auto" w:fill="FFFFFF"/>
        </w:rPr>
      </w:pPr>
      <w:proofErr w:type="gramStart"/>
      <w:r>
        <w:rPr>
          <w:color w:val="212529"/>
          <w:sz w:val="24"/>
          <w:szCs w:val="24"/>
          <w:shd w:val="clear" w:color="auto" w:fill="FFFFFF"/>
        </w:rPr>
        <w:lastRenderedPageBreak/>
        <w:t>Page 5.</w:t>
      </w:r>
      <w:proofErr w:type="gramEnd"/>
      <w:r>
        <w:rPr>
          <w:color w:val="212529"/>
          <w:sz w:val="24"/>
          <w:szCs w:val="24"/>
          <w:shd w:val="clear" w:color="auto" w:fill="FFFFFF"/>
        </w:rPr>
        <w:t xml:space="preserve"> </w:t>
      </w:r>
    </w:p>
    <w:p w14:paraId="5004C672" w14:textId="77777777" w:rsidR="00A554AB" w:rsidRDefault="00A554AB" w:rsidP="000B160F">
      <w:pPr>
        <w:jc w:val="both"/>
        <w:rPr>
          <w:color w:val="212529"/>
          <w:sz w:val="24"/>
          <w:szCs w:val="24"/>
          <w:shd w:val="clear" w:color="auto" w:fill="FFFFFF"/>
        </w:rPr>
      </w:pPr>
    </w:p>
    <w:p w14:paraId="51DE44BA" w14:textId="086CC66C" w:rsidR="00640D3F" w:rsidRDefault="00962C6D" w:rsidP="000B160F">
      <w:pPr>
        <w:jc w:val="both"/>
        <w:rPr>
          <w:color w:val="212529"/>
          <w:sz w:val="24"/>
          <w:szCs w:val="24"/>
          <w:shd w:val="clear" w:color="auto" w:fill="FFFFFF"/>
        </w:rPr>
      </w:pPr>
      <w:r>
        <w:rPr>
          <w:color w:val="212529"/>
          <w:sz w:val="24"/>
          <w:szCs w:val="24"/>
          <w:shd w:val="clear" w:color="auto" w:fill="FFFFFF"/>
        </w:rPr>
        <w:t xml:space="preserve">fact and recommendations of the Commission </w:t>
      </w:r>
      <w:r w:rsidR="0057786B">
        <w:rPr>
          <w:color w:val="212529"/>
          <w:sz w:val="24"/>
          <w:szCs w:val="24"/>
          <w:shd w:val="clear" w:color="auto" w:fill="FFFFFF"/>
        </w:rPr>
        <w:t>would be</w:t>
      </w:r>
      <w:r w:rsidR="00A90F27">
        <w:rPr>
          <w:color w:val="212529"/>
          <w:sz w:val="24"/>
          <w:szCs w:val="24"/>
          <w:shd w:val="clear" w:color="auto" w:fill="FFFFFF"/>
        </w:rPr>
        <w:t xml:space="preserve"> the department where the a</w:t>
      </w:r>
      <w:r w:rsidR="00FF05F3">
        <w:rPr>
          <w:color w:val="212529"/>
          <w:sz w:val="24"/>
          <w:szCs w:val="24"/>
          <w:shd w:val="clear" w:color="auto" w:fill="FFFFFF"/>
        </w:rPr>
        <w:t>ttorney is currently practicing;</w:t>
      </w:r>
      <w:r w:rsidR="00A90F27">
        <w:rPr>
          <w:color w:val="212529"/>
          <w:sz w:val="24"/>
          <w:szCs w:val="24"/>
          <w:shd w:val="clear" w:color="auto" w:fill="FFFFFF"/>
        </w:rPr>
        <w:t xml:space="preserve"> </w:t>
      </w:r>
      <w:r w:rsidR="00FF05F3">
        <w:rPr>
          <w:color w:val="212529"/>
          <w:sz w:val="24"/>
          <w:szCs w:val="24"/>
          <w:shd w:val="clear" w:color="auto" w:fill="FFFFFF"/>
        </w:rPr>
        <w:t>i</w:t>
      </w:r>
      <w:r w:rsidR="00A90F27">
        <w:rPr>
          <w:color w:val="212529"/>
          <w:sz w:val="24"/>
          <w:szCs w:val="24"/>
          <w:shd w:val="clear" w:color="auto" w:fill="FFFFFF"/>
        </w:rPr>
        <w:t>n the case of a former prosecutor, where they currently maintain their office</w:t>
      </w:r>
      <w:r w:rsidR="00FF05F3">
        <w:rPr>
          <w:color w:val="212529"/>
          <w:sz w:val="24"/>
          <w:szCs w:val="24"/>
          <w:shd w:val="clear" w:color="auto" w:fill="FFFFFF"/>
        </w:rPr>
        <w:t>; i</w:t>
      </w:r>
      <w:r w:rsidR="00BC2B58">
        <w:rPr>
          <w:color w:val="212529"/>
          <w:sz w:val="24"/>
          <w:szCs w:val="24"/>
          <w:shd w:val="clear" w:color="auto" w:fill="FFFFFF"/>
        </w:rPr>
        <w:t>f the former prosecutor no longer maintains a physical office, then perhaps</w:t>
      </w:r>
      <w:r w:rsidR="001A5872">
        <w:rPr>
          <w:color w:val="212529"/>
          <w:sz w:val="24"/>
          <w:szCs w:val="24"/>
          <w:shd w:val="clear" w:color="auto" w:fill="FFFFFF"/>
        </w:rPr>
        <w:t>,</w:t>
      </w:r>
      <w:r w:rsidR="00BC2B58">
        <w:rPr>
          <w:color w:val="212529"/>
          <w:sz w:val="24"/>
          <w:szCs w:val="24"/>
          <w:shd w:val="clear" w:color="auto" w:fill="FFFFFF"/>
        </w:rPr>
        <w:t xml:space="preserve"> where they reside (if in New York State) or, </w:t>
      </w:r>
      <w:r w:rsidR="00B14088">
        <w:rPr>
          <w:color w:val="212529"/>
          <w:sz w:val="24"/>
          <w:szCs w:val="24"/>
          <w:shd w:val="clear" w:color="auto" w:fill="FFFFFF"/>
        </w:rPr>
        <w:t xml:space="preserve">perhaps in the department where they were employed as a prosecutor at the time of the alleged conduct; or, </w:t>
      </w:r>
      <w:r w:rsidR="00BC2B58">
        <w:rPr>
          <w:color w:val="212529"/>
          <w:sz w:val="24"/>
          <w:szCs w:val="24"/>
          <w:shd w:val="clear" w:color="auto" w:fill="FFFFFF"/>
        </w:rPr>
        <w:t>as a last resort, to the department where they were first admitted.</w:t>
      </w:r>
    </w:p>
    <w:p w14:paraId="36E348ED" w14:textId="77777777" w:rsidR="00075814" w:rsidRDefault="00075814" w:rsidP="000B160F">
      <w:pPr>
        <w:jc w:val="both"/>
        <w:rPr>
          <w:color w:val="212529"/>
          <w:sz w:val="24"/>
          <w:szCs w:val="24"/>
          <w:shd w:val="clear" w:color="auto" w:fill="FFFFFF"/>
        </w:rPr>
      </w:pPr>
    </w:p>
    <w:p w14:paraId="48717A66" w14:textId="47407A4F" w:rsidR="00075814" w:rsidRDefault="00075814" w:rsidP="000B160F">
      <w:pPr>
        <w:jc w:val="both"/>
        <w:rPr>
          <w:color w:val="212529"/>
          <w:sz w:val="24"/>
          <w:szCs w:val="24"/>
          <w:shd w:val="clear" w:color="auto" w:fill="FFFFFF"/>
        </w:rPr>
      </w:pPr>
      <w:r>
        <w:rPr>
          <w:color w:val="212529"/>
          <w:sz w:val="24"/>
          <w:szCs w:val="24"/>
          <w:shd w:val="clear" w:color="auto" w:fill="FFFFFF"/>
        </w:rPr>
        <w:t xml:space="preserve">IV. </w:t>
      </w:r>
      <w:r w:rsidR="00EF1427">
        <w:rPr>
          <w:color w:val="212529"/>
          <w:sz w:val="24"/>
          <w:szCs w:val="24"/>
          <w:shd w:val="clear" w:color="auto" w:fill="FFFFFF"/>
        </w:rPr>
        <w:t>Findings of fact and recommendations should be sent to the</w:t>
      </w:r>
      <w:r w:rsidR="00EF1427">
        <w:rPr>
          <w:color w:val="212529"/>
          <w:sz w:val="24"/>
          <w:szCs w:val="24"/>
          <w:shd w:val="clear" w:color="auto" w:fill="FFFFFF"/>
        </w:rPr>
        <w:t xml:space="preserve"> complainant.</w:t>
      </w:r>
    </w:p>
    <w:p w14:paraId="0C565DF6" w14:textId="77777777" w:rsidR="00D8701B" w:rsidRDefault="00D8701B" w:rsidP="000B160F">
      <w:pPr>
        <w:jc w:val="both"/>
        <w:rPr>
          <w:color w:val="212529"/>
          <w:sz w:val="24"/>
          <w:szCs w:val="24"/>
          <w:shd w:val="clear" w:color="auto" w:fill="FFFFFF"/>
        </w:rPr>
      </w:pPr>
    </w:p>
    <w:p w14:paraId="0FA0FB20" w14:textId="7229CFE2" w:rsidR="00EF1427" w:rsidRDefault="00EF1427" w:rsidP="000B160F">
      <w:pPr>
        <w:jc w:val="both"/>
        <w:rPr>
          <w:color w:val="212529"/>
          <w:sz w:val="24"/>
          <w:szCs w:val="24"/>
          <w:shd w:val="clear" w:color="auto" w:fill="FFFFFF"/>
        </w:rPr>
      </w:pPr>
      <w:r>
        <w:rPr>
          <w:color w:val="212529"/>
          <w:sz w:val="24"/>
          <w:szCs w:val="24"/>
          <w:shd w:val="clear" w:color="auto" w:fill="FFFFFF"/>
        </w:rPr>
        <w:t>Section 10400.7(</w:t>
      </w:r>
      <w:r>
        <w:rPr>
          <w:color w:val="212529"/>
          <w:sz w:val="24"/>
          <w:szCs w:val="24"/>
          <w:shd w:val="clear" w:color="auto" w:fill="FFFFFF"/>
        </w:rPr>
        <w:t>c</w:t>
      </w:r>
      <w:r>
        <w:rPr>
          <w:color w:val="212529"/>
          <w:sz w:val="24"/>
          <w:szCs w:val="24"/>
          <w:shd w:val="clear" w:color="auto" w:fill="FFFFFF"/>
        </w:rPr>
        <w:t>) provides for the findings of fact, recommendations and the record to be transmitted to the attorney grievance committee</w:t>
      </w:r>
      <w:r w:rsidR="000F4DDE">
        <w:rPr>
          <w:color w:val="212529"/>
          <w:sz w:val="24"/>
          <w:szCs w:val="24"/>
          <w:shd w:val="clear" w:color="auto" w:fill="FFFFFF"/>
        </w:rPr>
        <w:t xml:space="preserve">, and upon service </w:t>
      </w:r>
      <w:r>
        <w:rPr>
          <w:color w:val="212529"/>
          <w:sz w:val="24"/>
          <w:szCs w:val="24"/>
          <w:shd w:val="clear" w:color="auto" w:fill="FFFFFF"/>
        </w:rPr>
        <w:t>on that committee being completed, to be made available to the public.</w:t>
      </w:r>
      <w:r w:rsidR="0012153F">
        <w:rPr>
          <w:color w:val="212529"/>
          <w:sz w:val="24"/>
          <w:szCs w:val="24"/>
          <w:shd w:val="clear" w:color="auto" w:fill="FFFFFF"/>
        </w:rPr>
        <w:t xml:space="preserve">  The findings of fact, recommendations and the record should also be sent by the grievance committee to the complainant, if there was one.</w:t>
      </w:r>
      <w:r w:rsidR="0094215F">
        <w:rPr>
          <w:color w:val="212529"/>
          <w:sz w:val="24"/>
          <w:szCs w:val="24"/>
          <w:shd w:val="clear" w:color="auto" w:fill="FFFFFF"/>
        </w:rPr>
        <w:t xml:space="preserve">  This is not only courteous, but consistent with the transparency </w:t>
      </w:r>
      <w:r w:rsidR="00702CBE">
        <w:rPr>
          <w:color w:val="212529"/>
          <w:sz w:val="24"/>
          <w:szCs w:val="24"/>
          <w:shd w:val="clear" w:color="auto" w:fill="FFFFFF"/>
        </w:rPr>
        <w:t>inherent</w:t>
      </w:r>
      <w:r w:rsidR="009A406A">
        <w:rPr>
          <w:color w:val="212529"/>
          <w:sz w:val="24"/>
          <w:szCs w:val="24"/>
          <w:shd w:val="clear" w:color="auto" w:fill="FFFFFF"/>
        </w:rPr>
        <w:t xml:space="preserve"> and intended</w:t>
      </w:r>
      <w:r w:rsidR="00702CBE">
        <w:rPr>
          <w:color w:val="212529"/>
          <w:sz w:val="24"/>
          <w:szCs w:val="24"/>
          <w:shd w:val="clear" w:color="auto" w:fill="FFFFFF"/>
        </w:rPr>
        <w:t xml:space="preserve"> in this statute.</w:t>
      </w:r>
    </w:p>
    <w:p w14:paraId="6847A77B" w14:textId="77777777" w:rsidR="00AB7DE4" w:rsidRDefault="00AB7DE4" w:rsidP="000B160F">
      <w:pPr>
        <w:jc w:val="both"/>
        <w:rPr>
          <w:color w:val="212529"/>
          <w:sz w:val="24"/>
          <w:szCs w:val="24"/>
          <w:shd w:val="clear" w:color="auto" w:fill="FFFFFF"/>
        </w:rPr>
      </w:pPr>
    </w:p>
    <w:p w14:paraId="1FF0F579" w14:textId="3BE1EEF2" w:rsidR="00AB7DE4" w:rsidRDefault="00AB7DE4" w:rsidP="000B160F">
      <w:pPr>
        <w:jc w:val="both"/>
        <w:rPr>
          <w:color w:val="212529"/>
          <w:sz w:val="24"/>
          <w:szCs w:val="24"/>
          <w:shd w:val="clear" w:color="auto" w:fill="FFFFFF"/>
        </w:rPr>
      </w:pPr>
      <w:r>
        <w:rPr>
          <w:color w:val="212529"/>
          <w:sz w:val="24"/>
          <w:szCs w:val="24"/>
          <w:shd w:val="clear" w:color="auto" w:fill="FFFFFF"/>
        </w:rPr>
        <w:t>Thank you for the opportunity to address the proposed rules for the operati</w:t>
      </w:r>
      <w:r w:rsidR="006A22F7">
        <w:rPr>
          <w:color w:val="212529"/>
          <w:sz w:val="24"/>
          <w:szCs w:val="24"/>
          <w:shd w:val="clear" w:color="auto" w:fill="FFFFFF"/>
        </w:rPr>
        <w:t>on of the Commission on Prosecutorial</w:t>
      </w:r>
      <w:r>
        <w:rPr>
          <w:color w:val="212529"/>
          <w:sz w:val="24"/>
          <w:szCs w:val="24"/>
          <w:shd w:val="clear" w:color="auto" w:fill="FFFFFF"/>
        </w:rPr>
        <w:t xml:space="preserve"> Conduct.</w:t>
      </w:r>
    </w:p>
    <w:p w14:paraId="7A05E9FC" w14:textId="77777777" w:rsidR="00AB7DE4" w:rsidRDefault="00AB7DE4" w:rsidP="000B160F">
      <w:pPr>
        <w:jc w:val="both"/>
        <w:rPr>
          <w:color w:val="212529"/>
          <w:sz w:val="24"/>
          <w:szCs w:val="24"/>
          <w:shd w:val="clear" w:color="auto" w:fill="FFFFFF"/>
        </w:rPr>
      </w:pPr>
    </w:p>
    <w:p w14:paraId="7354AD54" w14:textId="180A00CF" w:rsidR="00DF1026" w:rsidRDefault="00AB7DE4" w:rsidP="000B160F">
      <w:pPr>
        <w:jc w:val="both"/>
        <w:rPr>
          <w:sz w:val="24"/>
          <w:szCs w:val="24"/>
        </w:rPr>
      </w:pPr>
      <w:r>
        <w:rPr>
          <w:color w:val="212529"/>
          <w:sz w:val="24"/>
          <w:szCs w:val="24"/>
          <w:shd w:val="clear" w:color="auto" w:fill="FFFFFF"/>
        </w:rPr>
        <w:t>Should you have any questions, or wish to discuss any of my comments, please do not hesitate to contact me.</w:t>
      </w:r>
    </w:p>
    <w:p w14:paraId="128A5306" w14:textId="77777777" w:rsidR="00DF1026" w:rsidRDefault="00DF1026" w:rsidP="000B160F">
      <w:pPr>
        <w:jc w:val="both"/>
        <w:rPr>
          <w:sz w:val="24"/>
          <w:szCs w:val="24"/>
        </w:rPr>
      </w:pPr>
    </w:p>
    <w:p w14:paraId="5F9FC90C" w14:textId="77777777" w:rsidR="00DF1026" w:rsidRDefault="00DF1026" w:rsidP="000B160F">
      <w:pPr>
        <w:jc w:val="both"/>
        <w:rPr>
          <w:sz w:val="24"/>
          <w:szCs w:val="24"/>
        </w:rPr>
      </w:pPr>
    </w:p>
    <w:p w14:paraId="65FC4FD0" w14:textId="77777777" w:rsidR="00A10F68" w:rsidRPr="00A10F68" w:rsidRDefault="00A10F68" w:rsidP="000B160F">
      <w:pPr>
        <w:jc w:val="both"/>
        <w:rPr>
          <w:sz w:val="24"/>
          <w:szCs w:val="24"/>
        </w:rPr>
      </w:pPr>
      <w:r w:rsidRPr="00A10F68">
        <w:rPr>
          <w:sz w:val="24"/>
          <w:szCs w:val="24"/>
        </w:rPr>
        <w:t xml:space="preserve">Very truly yours, </w:t>
      </w:r>
    </w:p>
    <w:p w14:paraId="1B8EC06C" w14:textId="45ECA180" w:rsidR="00A10F68" w:rsidRPr="00A10F68" w:rsidRDefault="000B6361" w:rsidP="000B160F">
      <w:pPr>
        <w:jc w:val="both"/>
        <w:rPr>
          <w:i/>
          <w:sz w:val="24"/>
          <w:szCs w:val="24"/>
        </w:rPr>
      </w:pPr>
      <w:r>
        <w:rPr>
          <w:i/>
          <w:sz w:val="28"/>
          <w:szCs w:val="24"/>
        </w:rPr>
        <w:t xml:space="preserve">Greg D. Lubow, </w:t>
      </w:r>
      <w:proofErr w:type="spellStart"/>
      <w:r>
        <w:rPr>
          <w:i/>
          <w:sz w:val="28"/>
          <w:szCs w:val="24"/>
        </w:rPr>
        <w:t>Esq</w:t>
      </w:r>
      <w:proofErr w:type="spellEnd"/>
    </w:p>
    <w:p w14:paraId="4E78AB40" w14:textId="77777777" w:rsidR="00A10F68" w:rsidRPr="00A10F68" w:rsidRDefault="00A10F68" w:rsidP="000B160F">
      <w:pPr>
        <w:jc w:val="both"/>
        <w:rPr>
          <w:sz w:val="24"/>
          <w:szCs w:val="24"/>
        </w:rPr>
      </w:pPr>
    </w:p>
    <w:p w14:paraId="6FA84759" w14:textId="77777777" w:rsidR="00A10F68" w:rsidRDefault="00A10F68" w:rsidP="000B160F">
      <w:pPr>
        <w:jc w:val="both"/>
      </w:pPr>
      <w:r>
        <w:t xml:space="preserve">      </w:t>
      </w:r>
    </w:p>
    <w:p w14:paraId="7DDB5ED4" w14:textId="77777777" w:rsidR="005A5566" w:rsidRDefault="005A5566" w:rsidP="000B160F">
      <w:pPr>
        <w:jc w:val="both"/>
        <w:rPr>
          <w:sz w:val="24"/>
          <w:szCs w:val="24"/>
        </w:rPr>
      </w:pP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sidR="006E57EA">
        <w:rPr>
          <w:sz w:val="24"/>
          <w:szCs w:val="24"/>
          <w:lang w:val="en-CA"/>
        </w:rPr>
        <w:fldChar w:fldCharType="begin"/>
      </w:r>
      <w:r>
        <w:rPr>
          <w:sz w:val="24"/>
          <w:szCs w:val="24"/>
          <w:lang w:val="en-CA"/>
        </w:rPr>
        <w:instrText xml:space="preserve"> SEQ CHAPTER \h \r 1</w:instrText>
      </w:r>
      <w:r w:rsidR="006E57EA">
        <w:rPr>
          <w:sz w:val="24"/>
          <w:szCs w:val="24"/>
          <w:lang w:val="en-CA"/>
        </w:rPr>
        <w:fldChar w:fldCharType="end"/>
      </w:r>
      <w:r>
        <w:rPr>
          <w:sz w:val="24"/>
          <w:szCs w:val="24"/>
        </w:rPr>
        <w:t xml:space="preserve"> </w:t>
      </w:r>
    </w:p>
    <w:p w14:paraId="50BDE502" w14:textId="07064A97" w:rsidR="005A5566" w:rsidRDefault="005A5566" w:rsidP="000B160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20076ECC" w14:textId="77777777" w:rsidR="00584AA5" w:rsidRDefault="00584AA5" w:rsidP="000B160F">
      <w:pPr>
        <w:jc w:val="both"/>
      </w:pPr>
    </w:p>
    <w:sectPr w:rsidR="00584AA5" w:rsidSect="00A10F68">
      <w:pgSz w:w="12240" w:h="15840"/>
      <w:pgMar w:top="1440" w:right="1440" w:bottom="1440" w:left="144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66"/>
    <w:rsid w:val="0001770D"/>
    <w:rsid w:val="000218AA"/>
    <w:rsid w:val="00024F31"/>
    <w:rsid w:val="000408F4"/>
    <w:rsid w:val="00044EB3"/>
    <w:rsid w:val="00053877"/>
    <w:rsid w:val="00067646"/>
    <w:rsid w:val="000716E6"/>
    <w:rsid w:val="00075814"/>
    <w:rsid w:val="00075CB6"/>
    <w:rsid w:val="000A1EB6"/>
    <w:rsid w:val="000B160F"/>
    <w:rsid w:val="000B6361"/>
    <w:rsid w:val="000C67CD"/>
    <w:rsid w:val="000E1E6F"/>
    <w:rsid w:val="000F4DDE"/>
    <w:rsid w:val="000F5AE9"/>
    <w:rsid w:val="00102C74"/>
    <w:rsid w:val="0012153F"/>
    <w:rsid w:val="00163A9F"/>
    <w:rsid w:val="00164879"/>
    <w:rsid w:val="00167094"/>
    <w:rsid w:val="001861A5"/>
    <w:rsid w:val="001A5872"/>
    <w:rsid w:val="001C2014"/>
    <w:rsid w:val="001C68C8"/>
    <w:rsid w:val="001D6E51"/>
    <w:rsid w:val="001E12E6"/>
    <w:rsid w:val="001E46B7"/>
    <w:rsid w:val="001F4CE0"/>
    <w:rsid w:val="00213D3E"/>
    <w:rsid w:val="00216D49"/>
    <w:rsid w:val="00231451"/>
    <w:rsid w:val="00246BB9"/>
    <w:rsid w:val="0025041C"/>
    <w:rsid w:val="002623E7"/>
    <w:rsid w:val="00283664"/>
    <w:rsid w:val="002938CC"/>
    <w:rsid w:val="002A7431"/>
    <w:rsid w:val="003307F7"/>
    <w:rsid w:val="00332664"/>
    <w:rsid w:val="00332AC5"/>
    <w:rsid w:val="0038291F"/>
    <w:rsid w:val="003849C5"/>
    <w:rsid w:val="003E28E3"/>
    <w:rsid w:val="003E4E80"/>
    <w:rsid w:val="003E695F"/>
    <w:rsid w:val="0040188E"/>
    <w:rsid w:val="00432832"/>
    <w:rsid w:val="00441F3C"/>
    <w:rsid w:val="0045194D"/>
    <w:rsid w:val="00487AC6"/>
    <w:rsid w:val="00494C02"/>
    <w:rsid w:val="0049645C"/>
    <w:rsid w:val="004C115A"/>
    <w:rsid w:val="004E2095"/>
    <w:rsid w:val="004E25A0"/>
    <w:rsid w:val="004E798B"/>
    <w:rsid w:val="004F29ED"/>
    <w:rsid w:val="004F7A21"/>
    <w:rsid w:val="0053610E"/>
    <w:rsid w:val="00540805"/>
    <w:rsid w:val="00541947"/>
    <w:rsid w:val="005518C5"/>
    <w:rsid w:val="00553688"/>
    <w:rsid w:val="00554653"/>
    <w:rsid w:val="0055593E"/>
    <w:rsid w:val="00556F7E"/>
    <w:rsid w:val="005571F7"/>
    <w:rsid w:val="00561214"/>
    <w:rsid w:val="00563E67"/>
    <w:rsid w:val="005762C1"/>
    <w:rsid w:val="00576F09"/>
    <w:rsid w:val="0057786B"/>
    <w:rsid w:val="0058055C"/>
    <w:rsid w:val="00584AA5"/>
    <w:rsid w:val="00597C2F"/>
    <w:rsid w:val="005A5566"/>
    <w:rsid w:val="005B0EEC"/>
    <w:rsid w:val="005B1545"/>
    <w:rsid w:val="005E34D0"/>
    <w:rsid w:val="005F1013"/>
    <w:rsid w:val="00601010"/>
    <w:rsid w:val="00625165"/>
    <w:rsid w:val="0062661E"/>
    <w:rsid w:val="00640080"/>
    <w:rsid w:val="00640D3F"/>
    <w:rsid w:val="006A11DD"/>
    <w:rsid w:val="006A22F7"/>
    <w:rsid w:val="006A2BBA"/>
    <w:rsid w:val="006A3C6F"/>
    <w:rsid w:val="006A62EA"/>
    <w:rsid w:val="006C2B7D"/>
    <w:rsid w:val="006D0023"/>
    <w:rsid w:val="006E57EA"/>
    <w:rsid w:val="006F3CEC"/>
    <w:rsid w:val="00702CBE"/>
    <w:rsid w:val="007461E2"/>
    <w:rsid w:val="00763120"/>
    <w:rsid w:val="007A43F6"/>
    <w:rsid w:val="007C5CFB"/>
    <w:rsid w:val="007F3E10"/>
    <w:rsid w:val="007F5F5D"/>
    <w:rsid w:val="007F621B"/>
    <w:rsid w:val="0080452C"/>
    <w:rsid w:val="008777CB"/>
    <w:rsid w:val="008A131F"/>
    <w:rsid w:val="008A1B43"/>
    <w:rsid w:val="008A40E1"/>
    <w:rsid w:val="008A7B41"/>
    <w:rsid w:val="008C5D77"/>
    <w:rsid w:val="008E2C9F"/>
    <w:rsid w:val="008E39F2"/>
    <w:rsid w:val="008E731F"/>
    <w:rsid w:val="008F6975"/>
    <w:rsid w:val="009132D8"/>
    <w:rsid w:val="009217F2"/>
    <w:rsid w:val="0092765C"/>
    <w:rsid w:val="0094215F"/>
    <w:rsid w:val="00944271"/>
    <w:rsid w:val="00962C6D"/>
    <w:rsid w:val="00970E7F"/>
    <w:rsid w:val="009767A4"/>
    <w:rsid w:val="00995E0B"/>
    <w:rsid w:val="009A2DEC"/>
    <w:rsid w:val="009A364F"/>
    <w:rsid w:val="009A406A"/>
    <w:rsid w:val="009B3DC4"/>
    <w:rsid w:val="009B5A5D"/>
    <w:rsid w:val="009C2D00"/>
    <w:rsid w:val="009C3F63"/>
    <w:rsid w:val="009C7E89"/>
    <w:rsid w:val="009F2CD5"/>
    <w:rsid w:val="00A10F68"/>
    <w:rsid w:val="00A20AE6"/>
    <w:rsid w:val="00A23D9C"/>
    <w:rsid w:val="00A554AB"/>
    <w:rsid w:val="00A83C68"/>
    <w:rsid w:val="00A85B0C"/>
    <w:rsid w:val="00A90F27"/>
    <w:rsid w:val="00AA07A2"/>
    <w:rsid w:val="00AB7DE4"/>
    <w:rsid w:val="00AE0FE8"/>
    <w:rsid w:val="00AE4D99"/>
    <w:rsid w:val="00AF03D6"/>
    <w:rsid w:val="00AF3D64"/>
    <w:rsid w:val="00B14088"/>
    <w:rsid w:val="00B300B3"/>
    <w:rsid w:val="00B619CC"/>
    <w:rsid w:val="00B631EA"/>
    <w:rsid w:val="00B67442"/>
    <w:rsid w:val="00B70AF8"/>
    <w:rsid w:val="00B76B53"/>
    <w:rsid w:val="00BB1778"/>
    <w:rsid w:val="00BB21DE"/>
    <w:rsid w:val="00BC2B58"/>
    <w:rsid w:val="00BD5C5F"/>
    <w:rsid w:val="00BE0413"/>
    <w:rsid w:val="00BE1E37"/>
    <w:rsid w:val="00BF138F"/>
    <w:rsid w:val="00C0556B"/>
    <w:rsid w:val="00C05653"/>
    <w:rsid w:val="00C05D6C"/>
    <w:rsid w:val="00C5144F"/>
    <w:rsid w:val="00C60131"/>
    <w:rsid w:val="00C65542"/>
    <w:rsid w:val="00C71179"/>
    <w:rsid w:val="00CB682D"/>
    <w:rsid w:val="00CD0081"/>
    <w:rsid w:val="00CD4BF3"/>
    <w:rsid w:val="00CD530D"/>
    <w:rsid w:val="00CF76B7"/>
    <w:rsid w:val="00D3479A"/>
    <w:rsid w:val="00D644C3"/>
    <w:rsid w:val="00D67419"/>
    <w:rsid w:val="00D8701B"/>
    <w:rsid w:val="00D872BF"/>
    <w:rsid w:val="00DA39B7"/>
    <w:rsid w:val="00DD3E8F"/>
    <w:rsid w:val="00DF1026"/>
    <w:rsid w:val="00E24E97"/>
    <w:rsid w:val="00E41E72"/>
    <w:rsid w:val="00E45C97"/>
    <w:rsid w:val="00E57300"/>
    <w:rsid w:val="00E778B3"/>
    <w:rsid w:val="00E96245"/>
    <w:rsid w:val="00EB13D7"/>
    <w:rsid w:val="00EC61DD"/>
    <w:rsid w:val="00EF1427"/>
    <w:rsid w:val="00EF2A3F"/>
    <w:rsid w:val="00F02560"/>
    <w:rsid w:val="00F070FA"/>
    <w:rsid w:val="00F37AA3"/>
    <w:rsid w:val="00F45C02"/>
    <w:rsid w:val="00F51B56"/>
    <w:rsid w:val="00F57311"/>
    <w:rsid w:val="00F87E98"/>
    <w:rsid w:val="00FA7BF5"/>
    <w:rsid w:val="00FB4FDE"/>
    <w:rsid w:val="00FD29AC"/>
    <w:rsid w:val="00FE297F"/>
    <w:rsid w:val="00FF0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566"/>
    <w:pPr>
      <w:autoSpaceDE w:val="0"/>
      <w:autoSpaceDN w:val="0"/>
      <w:adjustRightInd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0F68"/>
    <w:rPr>
      <w:color w:val="0000FF" w:themeColor="hyperlink"/>
      <w:u w:val="single"/>
    </w:rPr>
  </w:style>
  <w:style w:type="character" w:styleId="Strong">
    <w:name w:val="Strong"/>
    <w:basedOn w:val="DefaultParagraphFont"/>
    <w:uiPriority w:val="22"/>
    <w:qFormat/>
    <w:rsid w:val="00E41E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566"/>
    <w:pPr>
      <w:autoSpaceDE w:val="0"/>
      <w:autoSpaceDN w:val="0"/>
      <w:adjustRightInd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0F68"/>
    <w:rPr>
      <w:color w:val="0000FF" w:themeColor="hyperlink"/>
      <w:u w:val="single"/>
    </w:rPr>
  </w:style>
  <w:style w:type="character" w:styleId="Strong">
    <w:name w:val="Strong"/>
    <w:basedOn w:val="DefaultParagraphFont"/>
    <w:uiPriority w:val="22"/>
    <w:qFormat/>
    <w:rsid w:val="00E41E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4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simons@cpc.ny.gov" TargetMode="External"/><Relationship Id="rId3" Type="http://schemas.microsoft.com/office/2007/relationships/stylesWithEffects" Target="stylesWithEffects.xml"/><Relationship Id="rId7" Type="http://schemas.openxmlformats.org/officeDocument/2006/relationships/hyperlink" Target="mailto:Regulations@cpc.ny.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dlubow@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19FDB-182A-47FB-92A4-4D2B5774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cp:lastModifiedBy>
  <cp:revision>2</cp:revision>
  <cp:lastPrinted>2024-06-24T16:58:00Z</cp:lastPrinted>
  <dcterms:created xsi:type="dcterms:W3CDTF">2024-06-24T16:59:00Z</dcterms:created>
  <dcterms:modified xsi:type="dcterms:W3CDTF">2024-06-24T16:59:00Z</dcterms:modified>
</cp:coreProperties>
</file>